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E2E2E"/>
          <w:sz w:val="32"/>
          <w:szCs w:val="32"/>
        </w:rPr>
        <w:t xml:space="preserve">VortexDeep</w:t>
      </w:r>
    </w:p>
    <w:p>
      <w:pPr>
        <w:spacing w:after="180"/>
      </w:pPr>
      <w:r>
        <w:rPr>
          <w:color w:val="6B6B6B"/>
          <w:sz w:val="16"/>
          <w:szCs w:val="16"/>
        </w:rPr>
        <w:t xml:space="preserve">SLIDE TIGHTENING SPEC  ·  v03 → v04  ·  remove Slide 4, add two process diagrams (build with native PowerPoint shapes)</w:t>
      </w:r>
    </w:p>
    <w:p>
      <w:pPr>
        <w:pBdr>
          <w:left w:val="single" w:color="B0143C" w:sz="18" w:space="8"/>
        </w:pBdr>
        <w:shd w:fill="F2F2F2" w:val="clear"/>
        <w:spacing w:after="120" w:before="120"/>
      </w:pPr>
      <w:r>
        <w:rPr>
          <w:b/>
          <w:bCs/>
          <w:color w:val="B0143C"/>
          <w:sz w:val="19"/>
          <w:szCs w:val="19"/>
        </w:rPr>
        <w:t xml:space="preserve">Decision: </w:t>
      </w:r>
      <w:r>
        <w:rPr>
          <w:color w:val="2E2E2E"/>
          <w:sz w:val="19"/>
          <w:szCs w:val="19"/>
        </w:rPr>
        <w:t xml:space="preserve">delete Slide 4 (the “how it works” repeat). Its point is carried by a small process diagram on Slide 2 (Problem) and Slide 3 (Solution). Deck goes from 10 to 9 slides. Build both diagrams with ordinary PowerPoint shapes — rounded rectangles, one oval, and connectors. No images needed.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Renumbering (10 → 9 slides)</w:t>
      </w:r>
    </w:p>
    <w:p>
      <w:pPr>
        <w:spacing w:after="80"/>
      </w:pPr>
      <w:r>
        <w:rPr>
          <w:color w:val="2E2E2E"/>
          <w:sz w:val="19"/>
          <w:szCs w:val="19"/>
        </w:rPr>
        <w:t xml:space="preserve">1 Intro · 2 Problem · 3 Solution · </w:t>
      </w:r>
      <w:r>
        <w:rPr>
          <w:b/>
          <w:bCs/>
          <w:color w:val="A32D2D"/>
          <w:sz w:val="19"/>
          <w:szCs w:val="19"/>
        </w:rPr>
        <w:t xml:space="preserve">[4 removed]</w:t>
      </w:r>
      <w:r>
        <w:rPr>
          <w:color w:val="2E2E2E"/>
          <w:sz w:val="19"/>
          <w:szCs w:val="19"/>
        </w:rPr>
        <w:t xml:space="preserve"> · 4 Market · 5 Competition &amp; Advantage · 6 Roadmap · 7 Financial Plan · 8 Team · 9 Board &amp; Advisors. The Day 5 talking-points script (v11) is already renumbered to match.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A.  Slide 2 (Problem) — one resource, in sequence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correct picture is a </w:t>
      </w:r>
      <w:r>
        <w:rPr>
          <w:b/>
          <w:bCs/>
          <w:color w:val="2E2E2E"/>
          <w:sz w:val="19"/>
          <w:szCs w:val="19"/>
        </w:rPr>
        <w:t xml:space="preserve">single-server queue</w:t>
      </w:r>
      <w:r>
        <w:rPr>
          <w:color w:val="2E2E2E"/>
          <w:sz w:val="19"/>
          <w:szCs w:val="19"/>
        </w:rPr>
        <w:t xml:space="preserve">: tasks line up, and the one resource (“You”) handles them </w:t>
      </w:r>
      <w:r>
        <w:rPr>
          <w:b/>
          <w:bCs/>
          <w:color w:val="2E2E2E"/>
          <w:sz w:val="19"/>
          <w:szCs w:val="19"/>
        </w:rPr>
        <w:t xml:space="preserve">one at a time, in turn</w:t>
      </w:r>
      <w:r>
        <w:rPr>
          <w:color w:val="2E2E2E"/>
          <w:sz w:val="19"/>
          <w:szCs w:val="19"/>
        </w:rPr>
        <w:t xml:space="preserve">. Task 1 is finished first; only then does task 2 start, then 3, then 4. Nothing is abandoned — the later tasks just </w:t>
      </w:r>
      <w:r>
        <w:rPr>
          <w:b/>
          <w:bCs/>
          <w:color w:val="2E2E2E"/>
          <w:sz w:val="19"/>
          <w:szCs w:val="19"/>
        </w:rPr>
        <w:t xml:space="preserve">wait their turn</w:t>
      </w:r>
      <w:r>
        <w:rPr>
          <w:color w:val="2E2E2E"/>
          <w:sz w:val="19"/>
          <w:szCs w:val="19"/>
        </w:rPr>
        <w:t xml:space="preserve">, so the queue clears slowly. The bottleneck is throughput, not neglect.</w:t>
      </w:r>
    </w:p>
    <w:p>
      <w:pPr>
        <w:shd w:fill="F5F4EF" w:val="clear"/>
        <w:spacing w:after="60" w:before="60"/>
      </w:pPr>
      <w:r>
        <w:rPr>
          <w:rFonts w:ascii="Consolas" w:cs="Consolas" w:eastAsia="Consolas" w:hAnsi="Consolas"/>
          <w:color w:val="2E2E2E"/>
          <w:sz w:val="17"/>
          <w:szCs w:val="17"/>
        </w:rPr>
        <w:t xml:space="preserve">[task1][task2][task3][task4]  →  ( You — one at a time )  →  done: 1, then 2, then 3, then 4</w:t>
      </w:r>
    </w:p>
    <w:p>
      <w:pPr>
        <w:shd w:fill="F5F4EF" w:val="clear"/>
        <w:spacing w:after="60" w:before="60"/>
      </w:pPr>
      <w:r>
        <w:rPr>
          <w:rFonts w:ascii="Consolas" w:cs="Consolas" w:eastAsia="Consolas" w:hAnsi="Consolas"/>
          <w:color w:val="2E2E2E"/>
          <w:sz w:val="17"/>
          <w:szCs w:val="17"/>
        </w:rPr>
        <w:t xml:space="preserve">                                      ↑_____ take the next only when the last is done _____|</w:t>
      </w:r>
    </w:p>
    <w:p>
      <w:pPr>
        <w:spacing w:after="80"/>
      </w:pPr>
      <w:r>
        <w:rPr>
          <w:b/>
          <w:bCs/>
          <w:color w:val="B0143C"/>
          <w:sz w:val="19"/>
          <w:szCs w:val="19"/>
        </w:rPr>
        <w:t xml:space="preserve">Build in PowerPoint: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Four rounded rectangles = the queue (task 1–4), stacked or in a row.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One </w:t>
      </w:r>
      <w:r>
        <w:rPr>
          <w:b/>
          <w:bCs/>
          <w:color w:val="2E2E2E"/>
          <w:sz w:val="19"/>
          <w:szCs w:val="19"/>
        </w:rPr>
        <w:t xml:space="preserve">oval</w:t>
      </w:r>
      <w:r>
        <w:rPr>
          <w:color w:val="2E2E2E"/>
          <w:sz w:val="19"/>
          <w:szCs w:val="19"/>
        </w:rPr>
        <w:t xml:space="preserve"> = “You — one at a time” (the single server). Connector from the queue into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Connector from the oval to a green rounded rectangle = “resolved — one by one”.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A </w:t>
      </w:r>
      <w:r>
        <w:rPr>
          <w:b/>
          <w:bCs/>
          <w:color w:val="2E2E2E"/>
          <w:sz w:val="19"/>
          <w:szCs w:val="19"/>
        </w:rPr>
        <w:t xml:space="preserve">curved return arrow</w:t>
      </w:r>
      <w:r>
        <w:rPr>
          <w:color w:val="2E2E2E"/>
          <w:sz w:val="19"/>
          <w:szCs w:val="19"/>
        </w:rPr>
        <w:t xml:space="preserve"> from the oval back to the queue, labelled “next task when the last is done” — this loop is what shows the serial handling.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Optional: a thin “time →” arrow along the bottom with four ticks spaced apart, to show tasks completing slowly, one after another.</w:t>
      </w:r>
    </w:p>
    <w:p>
      <w:pPr>
        <w:spacing w:after="120"/>
      </w:pPr>
      <w:r>
        <w:rPr>
          <w:i/>
          <w:iCs/>
          <w:color w:val="6B6B6B"/>
          <w:sz w:val="17"/>
          <w:szCs w:val="17"/>
        </w:rPr>
        <w:t xml:space="preserve">Caption on the slide: “One pair of hands, in sequence — later tasks wait their turn; the queue clears slowly.”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B.  Slide 3 (Solution) — the controlled line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AI does the </w:t>
      </w:r>
      <w:r>
        <w:rPr>
          <w:b/>
          <w:bCs/>
          <w:color w:val="2E2E2E"/>
          <w:sz w:val="19"/>
          <w:szCs w:val="19"/>
        </w:rPr>
        <w:t xml:space="preserve">hard work on all tasks in parallel</w:t>
      </w:r>
      <w:r>
        <w:rPr>
          <w:color w:val="2E2E2E"/>
          <w:sz w:val="19"/>
          <w:szCs w:val="19"/>
        </w:rPr>
        <w:t xml:space="preserve"> — not one at a time. Each finished item then waits only for a </w:t>
      </w:r>
      <w:r>
        <w:rPr>
          <w:b/>
          <w:bCs/>
          <w:color w:val="2E2E2E"/>
          <w:sz w:val="19"/>
          <w:szCs w:val="19"/>
        </w:rPr>
        <w:t xml:space="preserve">quick human yes/no</w:t>
      </w:r>
      <w:r>
        <w:rPr>
          <w:color w:val="2E2E2E"/>
          <w:sz w:val="19"/>
          <w:szCs w:val="19"/>
        </w:rPr>
        <w:t xml:space="preserve">: the heavy lifting is already done, so your approval is simple and fast. You are the </w:t>
      </w:r>
      <w:r>
        <w:rPr>
          <w:b/>
          <w:bCs/>
          <w:color w:val="2E2E2E"/>
          <w:sz w:val="19"/>
          <w:szCs w:val="19"/>
        </w:rPr>
        <w:t xml:space="preserve">control point</w:t>
      </w:r>
      <w:r>
        <w:rPr>
          <w:color w:val="2E2E2E"/>
          <w:sz w:val="19"/>
          <w:szCs w:val="19"/>
        </w:rPr>
        <w:t xml:space="preserve"> on the line, and every item is still your call.</w:t>
      </w:r>
    </w:p>
    <w:p>
      <w:pPr>
        <w:shd w:fill="F5F4EF" w:val="clear"/>
        <w:spacing w:after="60" w:before="60"/>
      </w:pPr>
      <w:r>
        <w:rPr>
          <w:rFonts w:ascii="Consolas" w:cs="Consolas" w:eastAsia="Consolas" w:hAnsi="Consolas"/>
          <w:color w:val="2E2E2E"/>
          <w:sz w:val="17"/>
          <w:szCs w:val="17"/>
        </w:rPr>
        <w:t xml:space="preserve">[task1][task2][task3][task4]  →  [ AI does the work ]  →  ( You — quick approve )  →  all 1…N resolved</w:t>
      </w:r>
    </w:p>
    <w:p>
      <w:pPr>
        <w:spacing w:after="80"/>
      </w:pPr>
      <w:r>
        <w:rPr>
          <w:b/>
          <w:bCs/>
          <w:color w:val="B0143C"/>
          <w:sz w:val="19"/>
          <w:szCs w:val="19"/>
        </w:rPr>
        <w:t xml:space="preserve">Build in PowerPoint: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Four rounded rectangles = tasks 1–4. Connectors into one rectangle = “AI workflow — does the work (all in parallel)”.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Connector to an </w:t>
      </w:r>
      <w:r>
        <w:rPr>
          <w:b/>
          <w:bCs/>
          <w:color w:val="2E2E2E"/>
          <w:sz w:val="19"/>
          <w:szCs w:val="19"/>
        </w:rPr>
        <w:t xml:space="preserve">oval</w:t>
      </w:r>
      <w:r>
        <w:rPr>
          <w:color w:val="2E2E2E"/>
          <w:sz w:val="19"/>
          <w:szCs w:val="19"/>
        </w:rPr>
        <w:t xml:space="preserve"> = “You — approve (quick)”. Small label under it: “control point · human-in-the-loop”.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E2E2E"/>
          <w:sz w:val="19"/>
          <w:szCs w:val="19"/>
        </w:rPr>
        <w:t xml:space="preserve">Connector to a green rounded rectangle = “all 1…N resolved”.</w:t>
      </w:r>
    </w:p>
    <w:p>
      <w:pPr>
        <w:spacing w:after="120"/>
      </w:pPr>
      <w:r>
        <w:rPr>
          <w:i/>
          <w:iCs/>
          <w:color w:val="6B6B6B"/>
          <w:sz w:val="17"/>
          <w:szCs w:val="17"/>
        </w:rPr>
        <w:t xml:space="preserve">Caption: “The AI does the hard work on all tasks in parallel; each waits only for a fast human yes/no — your call, every time.”</w:t>
      </w:r>
    </w:p>
    <w:p>
      <w:pPr>
        <w:pBdr>
          <w:left w:val="single" w:color="B0143C" w:sz="18" w:space="8"/>
        </w:pBdr>
        <w:shd w:fill="F2F2F2" w:val="clear"/>
        <w:spacing w:after="120" w:before="120"/>
      </w:pPr>
      <w:r>
        <w:rPr>
          <w:b/>
          <w:bCs/>
          <w:color w:val="B0143C"/>
          <w:sz w:val="19"/>
          <w:szCs w:val="19"/>
        </w:rPr>
        <w:t xml:space="preserve">Why the pair works: </w:t>
      </w:r>
      <w:r>
        <w:rPr>
          <w:color w:val="2E2E2E"/>
          <w:sz w:val="19"/>
          <w:szCs w:val="19"/>
        </w:rPr>
        <w:t xml:space="preserve">Slide 2 and Slide 3 use the same shapes, so the contrast is obvious — on Slide 2 the oval (“You”) is the whole process and the loop shows serial handling; on Slide 3 the oval shrinks to a control point on a line the AI runs. A process engineer on the jury reads it instantly.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C.  Slides 2 vs Market — the four buckets appear twice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Slide 2 lists Messages / Documents / Quotes &amp; renewals / Reports as </w:t>
      </w:r>
      <w:r>
        <w:rPr>
          <w:b/>
          <w:bCs/>
          <w:color w:val="2E2E2E"/>
          <w:sz w:val="19"/>
          <w:szCs w:val="19"/>
        </w:rPr>
        <w:t xml:space="preserve">problems</w:t>
      </w:r>
      <w:r>
        <w:rPr>
          <w:color w:val="2E2E2E"/>
          <w:sz w:val="19"/>
          <w:szCs w:val="19"/>
        </w:rPr>
        <w:t xml:space="preserve">; the Market slide (now Slide 4) lists the same four as </w:t>
      </w:r>
      <w:r>
        <w:rPr>
          <w:b/>
          <w:bCs/>
          <w:color w:val="2E2E2E"/>
          <w:sz w:val="19"/>
          <w:szCs w:val="19"/>
        </w:rPr>
        <w:t xml:space="preserve">segments</w:t>
      </w:r>
      <w:r>
        <w:rPr>
          <w:color w:val="2E2E2E"/>
          <w:sz w:val="19"/>
          <w:szCs w:val="19"/>
        </w:rPr>
        <w:t xml:space="preserve">. Both are required — don’t cut; make the repeat a deliberate callback.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Add to the Market slide (takeaway or sub):</w:t>
      </w:r>
      <w:r>
        <w:rPr>
          <w:color w:val="2E2E2E"/>
          <w:sz w:val="19"/>
          <w:szCs w:val="19"/>
        </w:rPr>
        <w:t xml:space="preserve">  “The same four areas that cost you hours on the problem slide are exactly the segments we serve — we sell into the pain we opened with.”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D.  “Human keeps control” — keep the refrain, vary the words</w:t>
      </w:r>
    </w:p>
    <w:p>
      <w:pPr>
        <w:spacing w:after="80"/>
      </w:pPr>
      <w:r>
        <w:rPr>
          <w:color w:val="2E2E2E"/>
          <w:sz w:val="19"/>
          <w:szCs w:val="19"/>
        </w:rPr>
        <w:t xml:space="preserve">With Slide 4 gone, the refrain lives on Slides 1, 3 and the Competition slide (now Slide 5). Keep it, but say it differently each time: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1:</w:t>
      </w:r>
      <w:r>
        <w:rPr>
          <w:color w:val="2E2E2E"/>
          <w:sz w:val="19"/>
          <w:szCs w:val="19"/>
        </w:rPr>
        <w:t xml:space="preserve">  “You keep the decisions.”  (the promise)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3:</w:t>
      </w:r>
      <w:r>
        <w:rPr>
          <w:color w:val="2E2E2E"/>
          <w:sz w:val="19"/>
          <w:szCs w:val="19"/>
        </w:rPr>
        <w:t xml:space="preserve">  “You still decide every item — the control point on the line.”  (carried by the diagram)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5 (Competition):</w:t>
      </w:r>
      <w:r>
        <w:rPr>
          <w:color w:val="2E2E2E"/>
          <w:sz w:val="19"/>
          <w:szCs w:val="19"/>
        </w:rPr>
        <w:t xml:space="preserve">  “A person approves every step.”  (the differentiator vs the four alternatives)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E.  Pricing on the Financial slide vs the ROI example — no contradiction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Financial slide (now Slide 7) is </w:t>
      </w:r>
      <w:r>
        <w:rPr>
          <w:b/>
          <w:bCs/>
          <w:color w:val="2E2E2E"/>
          <w:sz w:val="19"/>
          <w:szCs w:val="19"/>
        </w:rPr>
        <w:t xml:space="preserve">your</w:t>
      </w:r>
      <w:r>
        <w:rPr>
          <w:color w:val="2E2E2E"/>
          <w:sz w:val="19"/>
          <w:szCs w:val="19"/>
        </w:rPr>
        <w:t xml:space="preserve"> numbers — price ranges, ARR, break-even; keep it. The cost-of-inaction / ROI example is the </w:t>
      </w:r>
      <w:r>
        <w:rPr>
          <w:b/>
          <w:bCs/>
          <w:color w:val="2E2E2E"/>
          <w:sz w:val="19"/>
          <w:szCs w:val="19"/>
        </w:rPr>
        <w:t xml:space="preserve">customer’s</w:t>
      </w:r>
      <w:r>
        <w:rPr>
          <w:color w:val="2E2E2E"/>
          <w:sz w:val="19"/>
          <w:szCs w:val="19"/>
        </w:rPr>
        <w:t xml:space="preserve"> numbers — you </w:t>
      </w:r>
      <w:r>
        <w:rPr>
          <w:b/>
          <w:bCs/>
          <w:color w:val="2E2E2E"/>
          <w:sz w:val="19"/>
          <w:szCs w:val="19"/>
        </w:rPr>
        <w:t xml:space="preserve">say</w:t>
      </w:r>
      <w:r>
        <w:rPr>
          <w:color w:val="2E2E2E"/>
          <w:sz w:val="19"/>
          <w:szCs w:val="19"/>
        </w:rPr>
        <w:t xml:space="preserve"> it aloud there if asked, never a second slide, never the spreadsheet on the projector.</w:t>
      </w:r>
    </w:p>
    <w:p>
      <w:pPr>
        <w:spacing w:before="220"/>
      </w:pPr>
      <w:r>
        <w:rPr>
          <w:i/>
          <w:iCs/>
          <w:color w:val="6B6B6B"/>
          <w:sz w:val="18"/>
          <w:szCs w:val="18"/>
        </w:rPr>
        <w:t xml:space="preserve">Net: 9 slides, no repetition. Slide 4 removed; its point shown — correctly this time — by the serial-queue diagram on Slide 2 and the parallel controlled-line diagram on Slide 3.</w:t>
      </w:r>
    </w:p>
    <w:p>
      <w:pPr>
        <w:spacing w:before="120"/>
      </w:pPr>
      <w:r>
        <w:rPr>
          <w:color w:val="6B6B6B"/>
          <w:sz w:val="18"/>
          <w:szCs w:val="18"/>
        </w:rPr>
        <w:t xml:space="preserve">vortexdeep.ch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2026-08-22T19:26:00.852Z</dcterms:created>
  <dcterms:modified xsi:type="dcterms:W3CDTF">2026-08-22T19:26:00.865Z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