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2E2E"/>
          <w:sz w:val="32"/>
          <w:szCs w:val="32"/>
        </w:rPr>
        <w:t xml:space="preserve">VortexDeep</w:t>
      </w:r>
    </w:p>
    <w:p>
      <w:pPr>
        <w:spacing w:after="200"/>
      </w:pPr>
      <w:r>
        <w:rPr>
          <w:color w:val="6B6B6B"/>
          <w:sz w:val="16"/>
          <w:szCs w:val="16"/>
        </w:rPr>
        <w:t xml:space="preserve">BUSINESS CREATION ICT  ·  VENTURELAB  ·  AUGUST 2026  ·  ZÜRICH</w:t>
      </w:r>
    </w:p>
    <w:p>
      <w:pPr>
        <w:spacing w:after="60"/>
      </w:pPr>
      <w:r>
        <w:rPr>
          <w:b/>
          <w:bCs/>
          <w:color w:val="B0143C"/>
          <w:sz w:val="26"/>
          <w:szCs w:val="26"/>
        </w:rPr>
        <w:t xml:space="preserve">Talking Points — v03</w:t>
      </w:r>
    </w:p>
    <w:p>
      <w:pPr>
        <w:pBdr>
          <w:left w:val="single" w:color="B0143C" w:sz="18" w:space="8"/>
        </w:pBdr>
        <w:shd w:fill="F2F2F2" w:val="clear"/>
        <w:spacing w:after="100" w:before="100"/>
      </w:pPr>
      <w:r>
        <w:rPr>
          <w:color w:val="2E2E2E"/>
          <w:sz w:val="19"/>
          <w:szCs w:val="19"/>
        </w:rPr>
        <w:t xml:space="preserve">v03 revision. Days 1, 3 and 4 are unchanged from v02. HubSpot-informed edits: Day 2 items 05–06 reframed as options → trade-offs → fit (matching the reworked Competition slide); a new Day 5 pitch-delivery script built on the inbound “advise” flow; and a buyer's-journey framing note. Changed rows are tinted.</w:t>
      </w:r>
    </w:p>
    <w:p>
      <w:pPr>
        <w:pStyle w:val="Heading1"/>
        <w:spacing w:after="120" w:before="320"/>
      </w:pPr>
      <w:r>
        <w:rPr>
          <w:b/>
          <w:bCs/>
          <w:color w:val="2E2E2E"/>
          <w:sz w:val="30"/>
          <w:szCs w:val="30"/>
        </w:rPr>
        <w:t xml:space="preserve">Day 1 — Talking points</w:t>
      </w:r>
    </w:p>
    <w:p>
      <w:pPr>
        <w:spacing w:after="160"/>
      </w:pPr>
      <w:r>
        <w:rPr>
          <w:i/>
          <w:iCs/>
          <w:color w:val="6B6B6B"/>
          <w:sz w:val="20"/>
          <w:szCs w:val="20"/>
        </w:rPr>
        <w:t xml:space="preserve">problem . solution  —  Deliver Unique Customer Value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6760"/>
      </w:tblGrid>
      <w:tr>
        <w:tc>
          <w:tcPr>
            <w:tcW w:type="dxa" w:w="2600"/>
            <w:shd w:fill="FAFAFA" w:val="clear"/>
            <w:tcMar>
              <w:top w:type="dxa" w:w="80"/>
              <w:left w:type="dxa" w:w="120"/>
              <w:bottom w:type="dxa" w:w="80"/>
              <w:right w:type="dxa" w:w="120"/>
            </w:tcMar>
          </w:tcPr>
          <w:p>
            <w:r>
              <w:rPr>
                <w:b/>
                <w:bCs/>
                <w:color w:val="2E2E2E"/>
                <w:sz w:val="19"/>
                <w:szCs w:val="19"/>
              </w:rPr>
              <w:t xml:space="preserve">01  Who is the customer?</w:t>
            </w:r>
          </w:p>
        </w:tc>
        <w:tc>
          <w:tcPr>
            <w:tcW w:type="dxa" w:w="6760"/>
            <w:tcMar>
              <w:top w:type="dxa" w:w="80"/>
              <w:left w:type="dxa" w:w="120"/>
              <w:bottom w:type="dxa" w:w="80"/>
              <w:right w:type="dxa" w:w="120"/>
            </w:tcMar>
          </w:tcPr>
          <w:p>
            <w:r>
              <w:rPr>
                <w:color w:val="2E2E2E"/>
                <w:sz w:val="19"/>
                <w:szCs w:val="19"/>
              </w:rPr>
              <w:t xml:space="preserve">Owner, COO or ops/office manager in a 10–50-person firm who feels the admin drag and holds the budget. Global-open — but concentrate on one beachhead first.</w:t>
            </w:r>
          </w:p>
        </w:tc>
      </w:tr>
      <w:tr>
        <w:tc>
          <w:tcPr>
            <w:tcW w:type="dxa" w:w="2600"/>
            <w:shd w:fill="FAFAFA" w:val="clear"/>
            <w:tcMar>
              <w:top w:type="dxa" w:w="80"/>
              <w:left w:type="dxa" w:w="120"/>
              <w:bottom w:type="dxa" w:w="80"/>
              <w:right w:type="dxa" w:w="120"/>
            </w:tcMar>
          </w:tcPr>
          <w:p>
            <w:r>
              <w:rPr>
                <w:b/>
                <w:bCs/>
                <w:color w:val="2E2E2E"/>
                <w:sz w:val="19"/>
                <w:szCs w:val="19"/>
              </w:rPr>
              <w:t xml:space="preserve">02  What is the product / service?</w:t>
            </w:r>
          </w:p>
        </w:tc>
        <w:tc>
          <w:tcPr>
            <w:tcW w:type="dxa" w:w="6760"/>
            <w:tcMar>
              <w:top w:type="dxa" w:w="80"/>
              <w:left w:type="dxa" w:w="120"/>
              <w:bottom w:type="dxa" w:w="80"/>
              <w:right w:type="dxa" w:w="120"/>
            </w:tcMar>
          </w:tcPr>
          <w:p>
            <w:r>
              <w:rPr>
                <w:color w:val="2E2E2E"/>
                <w:sz w:val="19"/>
                <w:szCs w:val="19"/>
              </w:rPr>
              <w:t xml:space="preserve">A done-for-you build plus managed service — not a tool you log into. We set it up, then run it, with a human approving every step. Sold in six tiers, from simple intake to agentic operations.</w:t>
            </w:r>
          </w:p>
        </w:tc>
      </w:tr>
      <w:tr>
        <w:tc>
          <w:tcPr>
            <w:tcW w:type="dxa" w:w="2600"/>
            <w:shd w:fill="FAFAFA" w:val="clear"/>
            <w:tcMar>
              <w:top w:type="dxa" w:w="80"/>
              <w:left w:type="dxa" w:w="120"/>
              <w:bottom w:type="dxa" w:w="80"/>
              <w:right w:type="dxa" w:w="120"/>
            </w:tcMar>
          </w:tcPr>
          <w:p>
            <w:r>
              <w:rPr>
                <w:b/>
                <w:bCs/>
                <w:color w:val="2E2E2E"/>
                <w:sz w:val="19"/>
                <w:szCs w:val="19"/>
              </w:rPr>
              <w:t xml:space="preserve">03  How do we test the value proposition?</w:t>
            </w:r>
          </w:p>
        </w:tc>
        <w:tc>
          <w:tcPr>
            <w:tcW w:type="dxa" w:w="6760"/>
            <w:tcMar>
              <w:top w:type="dxa" w:w="80"/>
              <w:left w:type="dxa" w:w="120"/>
              <w:bottom w:type="dxa" w:w="80"/>
              <w:right w:type="dxa" w:w="120"/>
            </w:tcMar>
          </w:tcPr>
          <w:p>
            <w:r>
              <w:rPr>
                <w:color w:val="2E2E2E"/>
                <w:sz w:val="19"/>
                <w:szCs w:val="19"/>
              </w:rPr>
              <w:t xml:space="preserve">Problem interviews (do they describe the loop unprompted?), the Fit Check, and a concierge trial on one process. Validated by commitment — time, a real process or money — not praise.</w:t>
            </w:r>
          </w:p>
        </w:tc>
      </w:tr>
      <w:tr>
        <w:tc>
          <w:tcPr>
            <w:tcW w:type="dxa" w:w="2600"/>
            <w:shd w:fill="FAFAFA" w:val="clear"/>
            <w:tcMar>
              <w:top w:type="dxa" w:w="80"/>
              <w:left w:type="dxa" w:w="120"/>
              <w:bottom w:type="dxa" w:w="80"/>
              <w:right w:type="dxa" w:w="120"/>
            </w:tcMar>
          </w:tcPr>
          <w:p>
            <w:r>
              <w:rPr>
                <w:b/>
                <w:bCs/>
                <w:color w:val="2E2E2E"/>
                <w:sz w:val="19"/>
                <w:szCs w:val="19"/>
              </w:rPr>
              <w:t xml:space="preserve">04  What do customers want?</w:t>
            </w:r>
          </w:p>
        </w:tc>
        <w:tc>
          <w:tcPr>
            <w:tcW w:type="dxa" w:w="6760"/>
            <w:tcMar>
              <w:top w:type="dxa" w:w="80"/>
              <w:left w:type="dxa" w:w="120"/>
              <w:bottom w:type="dxa" w:w="80"/>
              <w:right w:type="dxa" w:w="120"/>
            </w:tcMar>
          </w:tcPr>
          <w:p>
            <w:r>
              <w:rPr>
                <w:color w:val="2E2E2E"/>
                <w:sz w:val="19"/>
                <w:szCs w:val="19"/>
              </w:rPr>
              <w:t xml:space="preserve">Surface: hours back, fewer dropped balls. Underneath: control and trust — no black box, no big IT project, no lock-in, data stays theirs, people not replaced. A hypothesis to test, not a proven fact.</w:t>
            </w:r>
          </w:p>
        </w:tc>
      </w:tr>
      <w:tr>
        <w:tc>
          <w:tcPr>
            <w:tcW w:type="dxa" w:w="2600"/>
            <w:shd w:fill="FAFAFA" w:val="clear"/>
            <w:tcMar>
              <w:top w:type="dxa" w:w="80"/>
              <w:left w:type="dxa" w:w="120"/>
              <w:bottom w:type="dxa" w:w="80"/>
              <w:right w:type="dxa" w:w="120"/>
            </w:tcMar>
          </w:tcPr>
          <w:p>
            <w:r>
              <w:rPr>
                <w:b/>
                <w:bCs/>
                <w:color w:val="2E2E2E"/>
                <w:sz w:val="19"/>
                <w:szCs w:val="19"/>
              </w:rPr>
              <w:t xml:space="preserve">05  Why should they buy? (value proposition)</w:t>
            </w:r>
          </w:p>
        </w:tc>
        <w:tc>
          <w:tcPr>
            <w:tcW w:type="dxa" w:w="6760"/>
            <w:tcMar>
              <w:top w:type="dxa" w:w="80"/>
              <w:left w:type="dxa" w:w="120"/>
              <w:bottom w:type="dxa" w:w="80"/>
              <w:right w:type="dxa" w:w="120"/>
            </w:tcMar>
          </w:tcPr>
          <w:p>
            <w:r>
              <w:rPr>
                <w:color w:val="2E2E2E"/>
                <w:sz w:val="19"/>
                <w:szCs w:val="19"/>
              </w:rPr>
              <w:t xml:space="preserve">Hours back without a new hire, a black box or a lock-in — priced to the exact scope and ownership you choose. The wedge is control and practicality, not hype.</w:t>
            </w:r>
          </w:p>
        </w:tc>
      </w:tr>
      <w:tr>
        <w:tc>
          <w:tcPr>
            <w:tcW w:type="dxa" w:w="2600"/>
            <w:shd w:fill="FAFAFA" w:val="clear"/>
            <w:tcMar>
              <w:top w:type="dxa" w:w="80"/>
              <w:left w:type="dxa" w:w="120"/>
              <w:bottom w:type="dxa" w:w="80"/>
              <w:right w:type="dxa" w:w="120"/>
            </w:tcMar>
          </w:tcPr>
          <w:p>
            <w:r>
              <w:rPr>
                <w:b/>
                <w:bCs/>
                <w:color w:val="2E2E2E"/>
                <w:sz w:val="19"/>
                <w:szCs w:val="19"/>
              </w:rPr>
              <w:t xml:space="preserve">06  How will they use it? (experience)</w:t>
            </w:r>
          </w:p>
        </w:tc>
        <w:tc>
          <w:tcPr>
            <w:tcW w:type="dxa" w:w="6760"/>
            <w:tcMar>
              <w:top w:type="dxa" w:w="80"/>
              <w:left w:type="dxa" w:w="120"/>
              <w:bottom w:type="dxa" w:w="80"/>
              <w:right w:type="dxa" w:w="120"/>
            </w:tcMar>
          </w:tcPr>
          <w:p>
            <w:r>
              <w:rPr>
                <w:color w:val="2E2E2E"/>
                <w:sz w:val="19"/>
                <w:szCs w:val="19"/>
              </w:rPr>
              <w:t xml:space="preserve">Fit Check → Discovery → Scope → Solution → Build → Validation → Live, then managed monthly. Work arrives sorted and drafted, waiting for approval — inside their own systems. Human control stays at the centre.</w:t>
            </w:r>
          </w:p>
        </w:tc>
      </w:tr>
      <w:tr>
        <w:tc>
          <w:tcPr>
            <w:tcW w:type="dxa" w:w="2600"/>
            <w:shd w:fill="FAFAFA" w:val="clear"/>
            <w:tcMar>
              <w:top w:type="dxa" w:w="80"/>
              <w:left w:type="dxa" w:w="120"/>
              <w:bottom w:type="dxa" w:w="80"/>
              <w:right w:type="dxa" w:w="120"/>
            </w:tcMar>
          </w:tcPr>
          <w:p>
            <w:r>
              <w:rPr>
                <w:b/>
                <w:bCs/>
                <w:color w:val="2E2E2E"/>
                <w:sz w:val="19"/>
                <w:szCs w:val="19"/>
              </w:rPr>
              <w:t xml:space="preserve">07  Capture your intellectual assets (IP)</w:t>
            </w:r>
          </w:p>
        </w:tc>
        <w:tc>
          <w:tcPr>
            <w:tcW w:type="dxa" w:w="6760"/>
            <w:tcMar>
              <w:top w:type="dxa" w:w="80"/>
              <w:left w:type="dxa" w:w="120"/>
              <w:bottom w:type="dxa" w:w="80"/>
              <w:right w:type="dxa" w:w="120"/>
            </w:tcMar>
          </w:tcPr>
          <w:p>
            <w:r>
              <w:rPr>
                <w:color w:val="2E2E2E"/>
                <w:sz w:val="19"/>
                <w:szCs w:val="19"/>
              </w:rPr>
              <w:t xml:space="preserve">Ownership is a defined ladder, not an open question: from managed (you keep the reusable IP, client gets results) to full transfer (client owns the whole asset). Full transfer sits at a premium — value is captured commercially, not by patent — backed by NDAs, a data agreement and IP-assignment clauses.</w:t>
            </w:r>
          </w:p>
        </w:tc>
      </w:tr>
    </w:tbl>
    <w:p>
      <w:pPr>
        <w:pStyle w:val="Heading1"/>
        <w:spacing w:after="120" w:before="320"/>
      </w:pPr>
      <w:r>
        <w:rPr>
          <w:b/>
          <w:bCs/>
          <w:color w:val="2E2E2E"/>
          <w:sz w:val="30"/>
          <w:szCs w:val="30"/>
        </w:rPr>
        <w:t xml:space="preserve">Day 2 — Talking points</w:t>
      </w:r>
    </w:p>
    <w:p>
      <w:pPr>
        <w:spacing w:after="160"/>
      </w:pPr>
      <w:r>
        <w:rPr>
          <w:i/>
          <w:iCs/>
          <w:color w:val="6B6B6B"/>
          <w:sz w:val="20"/>
          <w:szCs w:val="20"/>
        </w:rPr>
        <w:t xml:space="preserve">market . competition . advantage  —  Identify your Market and Convince Customers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6760"/>
      </w:tblGrid>
      <w:tr>
        <w:tc>
          <w:tcPr>
            <w:tcW w:type="dxa" w:w="2600"/>
            <w:shd w:fill="FAFAFA" w:val="clear"/>
            <w:tcMar>
              <w:top w:type="dxa" w:w="80"/>
              <w:left w:type="dxa" w:w="120"/>
              <w:bottom w:type="dxa" w:w="80"/>
              <w:right w:type="dxa" w:w="120"/>
            </w:tcMar>
          </w:tcPr>
          <w:p>
            <w:r>
              <w:rPr>
                <w:b/>
                <w:bCs/>
                <w:color w:val="2E2E2E"/>
                <w:sz w:val="19"/>
                <w:szCs w:val="19"/>
              </w:rPr>
              <w:t xml:space="preserve">01  What market are you in?</w:t>
            </w:r>
          </w:p>
        </w:tc>
        <w:tc>
          <w:tcPr>
            <w:tcW w:type="dxa" w:w="6760"/>
            <w:tcMar>
              <w:top w:type="dxa" w:w="80"/>
              <w:left w:type="dxa" w:w="120"/>
              <w:bottom w:type="dxa" w:w="80"/>
              <w:right w:type="dxa" w:w="120"/>
            </w:tcMar>
          </w:tcPr>
          <w:p>
            <w:r>
              <w:rPr>
                <w:color w:val="2E2E2E"/>
                <w:sz w:val="19"/>
                <w:szCs w:val="19"/>
              </w:rPr>
              <w:t xml:space="preserve">Operational automation for small and mid-sized companies — the repetitive admin that recurs in every SME (communication, documents, finance, sales, reporting).</w:t>
            </w:r>
          </w:p>
        </w:tc>
      </w:tr>
      <w:tr>
        <w:tc>
          <w:tcPr>
            <w:tcW w:type="dxa" w:w="2600"/>
            <w:shd w:fill="FAFAFA" w:val="clear"/>
            <w:tcMar>
              <w:top w:type="dxa" w:w="80"/>
              <w:left w:type="dxa" w:w="120"/>
              <w:bottom w:type="dxa" w:w="80"/>
              <w:right w:type="dxa" w:w="120"/>
            </w:tcMar>
          </w:tcPr>
          <w:p>
            <w:r>
              <w:rPr>
                <w:b/>
                <w:bCs/>
                <w:color w:val="2E2E2E"/>
                <w:sz w:val="19"/>
                <w:szCs w:val="19"/>
              </w:rPr>
              <w:t xml:space="preserve">02  How big is it, and how fast is it growing?</w:t>
            </w:r>
          </w:p>
        </w:tc>
        <w:tc>
          <w:tcPr>
            <w:tcW w:type="dxa" w:w="6760"/>
            <w:tcMar>
              <w:top w:type="dxa" w:w="80"/>
              <w:left w:type="dxa" w:w="120"/>
              <w:bottom w:type="dxa" w:w="80"/>
              <w:right w:type="dxa" w:w="120"/>
            </w:tcMar>
          </w:tcPr>
          <w:p>
            <w:r>
              <w:rPr>
                <w:color w:val="2E2E2E"/>
                <w:sz w:val="19"/>
                <w:szCs w:val="19"/>
              </w:rPr>
              <w:t xml:space="preserve">Insert sourced TAM / SAM / SOM figures. Framing — TAM: every SME with repetitive admin; SAM: B2B SMEs ~10–50, DACH-first / English-global; SOM: the beachhead reachable in year one. Direction of travel: AI automation is moving from enterprise-only into SME reach, and SME adoption is rising. (Needs a citable source — don't present numbers you can't defend.)</w:t>
            </w:r>
          </w:p>
        </w:tc>
      </w:tr>
      <w:tr>
        <w:tc>
          <w:tcPr>
            <w:tcW w:type="dxa" w:w="2600"/>
            <w:shd w:fill="FAFAFA" w:val="clear"/>
            <w:tcMar>
              <w:top w:type="dxa" w:w="80"/>
              <w:left w:type="dxa" w:w="120"/>
              <w:bottom w:type="dxa" w:w="80"/>
              <w:right w:type="dxa" w:w="120"/>
            </w:tcMar>
          </w:tcPr>
          <w:p>
            <w:r>
              <w:rPr>
                <w:b/>
                <w:bCs/>
                <w:color w:val="2E2E2E"/>
                <w:sz w:val="19"/>
                <w:szCs w:val="19"/>
              </w:rPr>
              <w:t xml:space="preserve">03  What slice are you aiming to capture?</w:t>
            </w:r>
          </w:p>
        </w:tc>
        <w:tc>
          <w:tcPr>
            <w:tcW w:type="dxa" w:w="6760"/>
            <w:tcMar>
              <w:top w:type="dxa" w:w="80"/>
              <w:left w:type="dxa" w:w="120"/>
              <w:bottom w:type="dxa" w:w="80"/>
              <w:right w:type="dxa" w:w="120"/>
            </w:tcMar>
          </w:tcPr>
          <w:p>
            <w:r>
              <w:rPr>
                <w:color w:val="2E2E2E"/>
                <w:sz w:val="19"/>
                <w:szCs w:val="19"/>
              </w:rPr>
              <w:t xml:space="preserve">The cautious middle — SMEs who want AI's help but not its autonomy. They're aware of the problem but stuck before the decision, wary of handing over control. Land one process that's costing hours, then grow with the account.</w:t>
            </w:r>
          </w:p>
        </w:tc>
      </w:tr>
      <w:tr>
        <w:tc>
          <w:tcPr>
            <w:tcW w:type="dxa" w:w="2600"/>
            <w:shd w:fill="FAFAFA" w:val="clear"/>
            <w:tcMar>
              <w:top w:type="dxa" w:w="80"/>
              <w:left w:type="dxa" w:w="120"/>
              <w:bottom w:type="dxa" w:w="80"/>
              <w:right w:type="dxa" w:w="120"/>
            </w:tcMar>
          </w:tcPr>
          <w:p>
            <w:r>
              <w:rPr>
                <w:b/>
                <w:bCs/>
                <w:color w:val="2E2E2E"/>
                <w:sz w:val="19"/>
                <w:szCs w:val="19"/>
              </w:rPr>
              <w:t xml:space="preserve">04  Who are your competitors — direct and indirect?</w:t>
            </w:r>
          </w:p>
        </w:tc>
        <w:tc>
          <w:tcPr>
            <w:tcW w:type="dxa" w:w="6760"/>
            <w:tcMar>
              <w:top w:type="dxa" w:w="80"/>
              <w:left w:type="dxa" w:w="120"/>
              <w:bottom w:type="dxa" w:w="80"/>
              <w:right w:type="dxa" w:w="120"/>
            </w:tcMar>
          </w:tcPr>
          <w:p>
            <w:r>
              <w:rPr>
                <w:color w:val="2E2E2E"/>
                <w:sz w:val="19"/>
                <w:szCs w:val="19"/>
              </w:rPr>
              <w:t xml:space="preserve">Direct: AI / automation agencies and freelancers; full-autonomy 'AI agent' products. Indirect: DIY tools (Zapier, Make, n8n); hiring an ops person; and the status quo — doing nothing.</w:t>
            </w:r>
          </w:p>
        </w:tc>
      </w:tr>
      <w:tr>
        <w:tc>
          <w:tcPr>
            <w:tcW w:type="dxa" w:w="2600"/>
            <w:shd w:fill="FBE9EE" w:val="clear"/>
            <w:tcMar>
              <w:top w:type="dxa" w:w="80"/>
              <w:left w:type="dxa" w:w="120"/>
              <w:bottom w:type="dxa" w:w="80"/>
              <w:right w:type="dxa" w:w="120"/>
            </w:tcMar>
          </w:tcPr>
          <w:p>
            <w:r>
              <w:rPr>
                <w:b/>
                <w:bCs/>
                <w:color w:val="2E2E2E"/>
                <w:sz w:val="19"/>
                <w:szCs w:val="19"/>
              </w:rPr>
              <w:t xml:space="preserve">05  What is your competitive advantage?</w:t>
            </w:r>
          </w:p>
        </w:tc>
        <w:tc>
          <w:tcPr>
            <w:tcW w:type="dxa" w:w="6760"/>
            <w:tcMar>
              <w:top w:type="dxa" w:w="80"/>
              <w:left w:type="dxa" w:w="120"/>
              <w:bottom w:type="dxa" w:w="80"/>
              <w:right w:type="dxa" w:w="120"/>
            </w:tcMar>
          </w:tcPr>
          <w:p>
            <w:r>
              <w:rPr>
                <w:color w:val="2E2E2E"/>
                <w:sz w:val="19"/>
                <w:szCs w:val="19"/>
              </w:rPr>
              <w:t xml:space="preserve">Frame it as a choice, not a feature list — the HubSpot “pros-and-cons, then fit” move. The buyer has four ways to handle the repetition, each with a real trade-off:</w:t>
            </w:r>
          </w:p>
          <w:p>
            <w:pPr>
              <w:spacing w:before="40"/>
            </w:pPr>
            <w:r>
              <w:rPr>
                <w:b/>
                <w:bCs/>
                <w:color w:val="2E2E2E"/>
                <w:sz w:val="19"/>
                <w:szCs w:val="19"/>
              </w:rPr>
              <w:t xml:space="preserve">DIY tools</w:t>
            </w:r>
            <w:r>
              <w:rPr>
                <w:color w:val="2E2E2E"/>
                <w:sz w:val="19"/>
                <w:szCs w:val="19"/>
              </w:rPr>
              <w:t xml:space="preserve"> — cheap, but you build and maintain it;  </w:t>
            </w:r>
            <w:r>
              <w:rPr>
                <w:b/>
                <w:bCs/>
                <w:color w:val="2E2E2E"/>
                <w:sz w:val="19"/>
                <w:szCs w:val="19"/>
              </w:rPr>
              <w:t xml:space="preserve">Full-autonomy AI</w:t>
            </w:r>
            <w:r>
              <w:rPr>
                <w:color w:val="2E2E2E"/>
                <w:sz w:val="19"/>
                <w:szCs w:val="19"/>
              </w:rPr>
              <w:t xml:space="preserve"> — fast, but a black box you can't oversee;  </w:t>
            </w:r>
            <w:r>
              <w:rPr>
                <w:b/>
                <w:bCs/>
                <w:color w:val="2E2E2E"/>
                <w:sz w:val="19"/>
                <w:szCs w:val="19"/>
              </w:rPr>
              <w:t xml:space="preserve">Hire an ops person</w:t>
            </w:r>
            <w:r>
              <w:rPr>
                <w:color w:val="2E2E2E"/>
                <w:sz w:val="19"/>
                <w:szCs w:val="19"/>
              </w:rPr>
              <w:t xml:space="preserve"> — headcount cost, and still manual;  </w:t>
            </w:r>
            <w:r>
              <w:rPr>
                <w:b/>
                <w:bCs/>
                <w:color w:val="2E2E2E"/>
                <w:sz w:val="19"/>
                <w:szCs w:val="19"/>
              </w:rPr>
              <w:t xml:space="preserve">Do nothing</w:t>
            </w:r>
            <w:r>
              <w:rPr>
                <w:color w:val="2E2E2E"/>
                <w:sz w:val="19"/>
                <w:szCs w:val="19"/>
              </w:rPr>
              <w:t xml:space="preserve"> — the cost compounds every day.</w:t>
            </w:r>
          </w:p>
          <w:p>
            <w:pPr>
              <w:spacing w:before="60"/>
            </w:pPr>
            <w:r>
              <w:rPr>
                <w:b/>
                <w:bCs/>
                <w:color w:val="B0143C"/>
                <w:sz w:val="19"/>
                <w:szCs w:val="19"/>
              </w:rPr>
              <w:t xml:space="preserve">Our fit for the cautious middle: </w:t>
            </w:r>
            <w:r>
              <w:rPr>
                <w:color w:val="2E2E2E"/>
                <w:sz w:val="19"/>
                <w:szCs w:val="19"/>
              </w:rPr>
              <w:t xml:space="preserve">human-in-the-loop (you approve every step); done-for-you managed service (not a tool to learn); your data stays yours (no black box, no lock-in); senior &amp; personal (the builder answers the phone; 20 years in industrial operations).</w:t>
            </w:r>
          </w:p>
        </w:tc>
      </w:tr>
      <w:tr>
        <w:tc>
          <w:tcPr>
            <w:tcW w:type="dxa" w:w="2600"/>
            <w:shd w:fill="FBE9EE" w:val="clear"/>
            <w:tcMar>
              <w:top w:type="dxa" w:w="80"/>
              <w:left w:type="dxa" w:w="120"/>
              <w:bottom w:type="dxa" w:w="80"/>
              <w:right w:type="dxa" w:w="120"/>
            </w:tcMar>
          </w:tcPr>
          <w:p>
            <w:r>
              <w:rPr>
                <w:b/>
                <w:bCs/>
                <w:color w:val="2E2E2E"/>
                <w:sz w:val="19"/>
                <w:szCs w:val="19"/>
              </w:rPr>
              <w:t xml:space="preserve">06  Where are you weak — and how do you cover it?</w:t>
            </w:r>
          </w:p>
        </w:tc>
        <w:tc>
          <w:tcPr>
            <w:tcW w:type="dxa" w:w="6760"/>
            <w:tcMar>
              <w:top w:type="dxa" w:w="80"/>
              <w:left w:type="dxa" w:w="120"/>
              <w:bottom w:type="dxa" w:w="80"/>
              <w:right w:type="dxa" w:w="120"/>
            </w:tcMar>
          </w:tcPr>
          <w:p>
            <w:r>
              <w:rPr>
                <w:color w:val="2E2E2E"/>
                <w:sz w:val="19"/>
                <w:szCs w:val="19"/>
              </w:rPr>
              <w:t xml:space="preserve">New and small (no long track record yet); higher-touch, so not the cheapest or highest-volume; founder-capacity bound early on. Cover with anonymised proof / case studies, a tight beachhead, phased fixed-scope, and honesty about what's better left manual — naming a trade-off you don't win builds the same trust as the reframe above.</w:t>
            </w:r>
          </w:p>
        </w:tc>
      </w:tr>
      <w:tr>
        <w:tc>
          <w:tcPr>
            <w:tcW w:type="dxa" w:w="2600"/>
            <w:shd w:fill="FAFAFA" w:val="clear"/>
            <w:tcMar>
              <w:top w:type="dxa" w:w="80"/>
              <w:left w:type="dxa" w:w="120"/>
              <w:bottom w:type="dxa" w:w="80"/>
              <w:right w:type="dxa" w:w="120"/>
            </w:tcMar>
          </w:tcPr>
          <w:p>
            <w:r>
              <w:rPr>
                <w:b/>
                <w:bCs/>
                <w:color w:val="2E2E2E"/>
                <w:sz w:val="19"/>
                <w:szCs w:val="19"/>
              </w:rPr>
              <w:t xml:space="preserve">07  How will you reach first customers and get traction?</w:t>
            </w:r>
          </w:p>
        </w:tc>
        <w:tc>
          <w:tcPr>
            <w:tcW w:type="dxa" w:w="6760"/>
            <w:tcMar>
              <w:top w:type="dxa" w:w="80"/>
              <w:left w:type="dxa" w:w="120"/>
              <w:bottom w:type="dxa" w:w="80"/>
              <w:right w:type="dxa" w:w="120"/>
            </w:tcMar>
          </w:tcPr>
          <w:p>
            <w:r>
              <w:rPr>
                <w:color w:val="2E2E2E"/>
                <w:sz w:val="19"/>
                <w:szCs w:val="19"/>
              </w:rPr>
              <w:t xml:space="preserve">Warm, targeted outreach + consistent content to the beachhead; the Fit Check as the low-pressure front door; a concierge trial on one process; referrals inside a high-trust niche. No cold spray.</w:t>
            </w:r>
          </w:p>
        </w:tc>
      </w:tr>
    </w:tbl>
    <w:p>
      <w:pPr>
        <w:pStyle w:val="Heading1"/>
        <w:spacing w:after="120" w:before="320"/>
      </w:pPr>
      <w:r>
        <w:rPr>
          <w:b/>
          <w:bCs/>
          <w:color w:val="2E2E2E"/>
          <w:sz w:val="30"/>
          <w:szCs w:val="30"/>
        </w:rPr>
        <w:t xml:space="preserve">Day 3 — Talking points</w:t>
      </w:r>
    </w:p>
    <w:p>
      <w:pPr>
        <w:spacing w:after="160"/>
      </w:pPr>
      <w:r>
        <w:rPr>
          <w:i/>
          <w:iCs/>
          <w:color w:val="6B6B6B"/>
          <w:sz w:val="20"/>
          <w:szCs w:val="20"/>
        </w:rPr>
        <w:t xml:space="preserve">roadmap . financial planning  —  Define your Business Development Plan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6760"/>
      </w:tblGrid>
      <w:tr>
        <w:tc>
          <w:tcPr>
            <w:tcW w:type="dxa" w:w="2600"/>
            <w:shd w:fill="FAFAFA" w:val="clear"/>
            <w:tcMar>
              <w:top w:type="dxa" w:w="80"/>
              <w:left w:type="dxa" w:w="120"/>
              <w:bottom w:type="dxa" w:w="80"/>
              <w:right w:type="dxa" w:w="120"/>
            </w:tcMar>
          </w:tcPr>
          <w:p>
            <w:r>
              <w:rPr>
                <w:b/>
                <w:bCs/>
                <w:color w:val="2E2E2E"/>
                <w:sz w:val="19"/>
                <w:szCs w:val="19"/>
              </w:rPr>
              <w:t xml:space="preserve">01  What's your value-creation process?</w:t>
            </w:r>
          </w:p>
        </w:tc>
        <w:tc>
          <w:tcPr>
            <w:tcW w:type="dxa" w:w="6760"/>
            <w:tcMar>
              <w:top w:type="dxa" w:w="80"/>
              <w:left w:type="dxa" w:w="120"/>
              <w:bottom w:type="dxa" w:w="80"/>
              <w:right w:type="dxa" w:w="120"/>
            </w:tcMar>
          </w:tcPr>
          <w:p>
            <w:r>
              <w:rPr>
                <w:color w:val="2E2E2E"/>
                <w:sz w:val="19"/>
                <w:szCs w:val="19"/>
              </w:rPr>
              <w:t xml:space="preserve">The six-phase How We Work: Discovery → Scope &amp; MVP → Blueprint → Build → Validation → Go-live &amp; managed service. Each phase produces a written output and needs sign-off before the next. Human control is the default, not a feature.</w:t>
            </w:r>
          </w:p>
        </w:tc>
      </w:tr>
      <w:tr>
        <w:tc>
          <w:tcPr>
            <w:tcW w:type="dxa" w:w="2600"/>
            <w:shd w:fill="FAFAFA" w:val="clear"/>
            <w:tcMar>
              <w:top w:type="dxa" w:w="80"/>
              <w:left w:type="dxa" w:w="120"/>
              <w:bottom w:type="dxa" w:w="80"/>
              <w:right w:type="dxa" w:w="120"/>
            </w:tcMar>
          </w:tcPr>
          <w:p>
            <w:r>
              <w:rPr>
                <w:b/>
                <w:bCs/>
                <w:color w:val="2E2E2E"/>
                <w:sz w:val="19"/>
                <w:szCs w:val="19"/>
              </w:rPr>
              <w:t xml:space="preserve">02  What's your 3-year roadmap?</w:t>
            </w:r>
          </w:p>
        </w:tc>
        <w:tc>
          <w:tcPr>
            <w:tcW w:type="dxa" w:w="6760"/>
            <w:tcMar>
              <w:top w:type="dxa" w:w="80"/>
              <w:left w:type="dxa" w:w="120"/>
              <w:bottom w:type="dxa" w:w="80"/>
              <w:right w:type="dxa" w:w="120"/>
            </w:tcMar>
          </w:tcPr>
          <w:p>
            <w:r>
              <w:rPr>
                <w:color w:val="2E2E2E"/>
                <w:sz w:val="19"/>
                <w:szCs w:val="19"/>
              </w:rPr>
              <w:t xml:space="preserve">Start narrow, prove it, then widen: 1–2 Swiss clients in 2026; 6–8 and break-even in 2027; first hire, CH→EU expansion and 15–20 clients in 2028; 30–40+ across CH+EU by 2029. Land one process, then expand within the account.</w:t>
            </w:r>
          </w:p>
        </w:tc>
      </w:tr>
      <w:tr>
        <w:tc>
          <w:tcPr>
            <w:tcW w:type="dxa" w:w="2600"/>
            <w:shd w:fill="FAFAFA" w:val="clear"/>
            <w:tcMar>
              <w:top w:type="dxa" w:w="80"/>
              <w:left w:type="dxa" w:w="120"/>
              <w:bottom w:type="dxa" w:w="80"/>
              <w:right w:type="dxa" w:w="120"/>
            </w:tcMar>
          </w:tcPr>
          <w:p>
            <w:r>
              <w:rPr>
                <w:b/>
                <w:bCs/>
                <w:color w:val="2E2E2E"/>
                <w:sz w:val="19"/>
                <w:szCs w:val="19"/>
              </w:rPr>
              <w:t xml:space="preserve">03  What development method do you use?</w:t>
            </w:r>
          </w:p>
        </w:tc>
        <w:tc>
          <w:tcPr>
            <w:tcW w:type="dxa" w:w="6760"/>
            <w:tcMar>
              <w:top w:type="dxa" w:w="80"/>
              <w:left w:type="dxa" w:w="120"/>
              <w:bottom w:type="dxa" w:w="80"/>
              <w:right w:type="dxa" w:w="120"/>
            </w:tcMar>
          </w:tcPr>
          <w:p>
            <w:r>
              <w:rPr>
                <w:color w:val="2E2E2E"/>
                <w:sz w:val="19"/>
                <w:szCs w:val="19"/>
              </w:rPr>
              <w:t xml:space="preserve">Phased, fixed-scope delivery — a hands-on trial on one process first, then productise the workflows that recur. Land one process, then expand inside high-trust accounts; grow on cashflow rather than a big upfront bet.</w:t>
            </w:r>
          </w:p>
        </w:tc>
      </w:tr>
      <w:tr>
        <w:tc>
          <w:tcPr>
            <w:tcW w:type="dxa" w:w="2600"/>
            <w:shd w:fill="FAFAFA" w:val="clear"/>
            <w:tcMar>
              <w:top w:type="dxa" w:w="80"/>
              <w:left w:type="dxa" w:w="120"/>
              <w:bottom w:type="dxa" w:w="80"/>
              <w:right w:type="dxa" w:w="120"/>
            </w:tcMar>
          </w:tcPr>
          <w:p>
            <w:r>
              <w:rPr>
                <w:b/>
                <w:bCs/>
                <w:color w:val="2E2E2E"/>
                <w:sz w:val="19"/>
                <w:szCs w:val="19"/>
              </w:rPr>
              <w:t xml:space="preserve">04  How do you make money?</w:t>
            </w:r>
          </w:p>
        </w:tc>
        <w:tc>
          <w:tcPr>
            <w:tcW w:type="dxa" w:w="6760"/>
            <w:tcMar>
              <w:top w:type="dxa" w:w="80"/>
              <w:left w:type="dxa" w:w="120"/>
              <w:bottom w:type="dxa" w:w="80"/>
              <w:right w:type="dxa" w:w="120"/>
            </w:tcMar>
          </w:tcPr>
          <w:p>
            <w:r>
              <w:rPr>
                <w:color w:val="2E2E2E"/>
                <w:sz w:val="19"/>
                <w:szCs w:val="19"/>
              </w:rPr>
              <w:t xml:space="preserve">Two lines: a one-time setup that funds the build, plus a monthly managed service (the recurring base). Priced across five packages by complexity, with a sensitive-data multiplier. Not one price — priced to the scope and level of control the client chooses. Ownership is offered as a licence, not a transfer, so even that stays recurring.</w:t>
            </w:r>
          </w:p>
        </w:tc>
      </w:tr>
      <w:tr>
        <w:tc>
          <w:tcPr>
            <w:tcW w:type="dxa" w:w="2600"/>
            <w:shd w:fill="FAFAFA" w:val="clear"/>
            <w:tcMar>
              <w:top w:type="dxa" w:w="80"/>
              <w:left w:type="dxa" w:w="120"/>
              <w:bottom w:type="dxa" w:w="80"/>
              <w:right w:type="dxa" w:w="120"/>
            </w:tcMar>
          </w:tcPr>
          <w:p>
            <w:r>
              <w:rPr>
                <w:b/>
                <w:bCs/>
                <w:color w:val="2E2E2E"/>
                <w:sz w:val="19"/>
                <w:szCs w:val="19"/>
              </w:rPr>
              <w:t xml:space="preserve">05  What do the numbers look like?</w:t>
            </w:r>
          </w:p>
        </w:tc>
        <w:tc>
          <w:tcPr>
            <w:tcW w:type="dxa" w:w="6760"/>
            <w:tcMar>
              <w:top w:type="dxa" w:w="80"/>
              <w:left w:type="dxa" w:w="120"/>
              <w:bottom w:type="dxa" w:w="80"/>
              <w:right w:type="dxa" w:w="120"/>
            </w:tcMar>
          </w:tcPr>
          <w:p>
            <w:r>
              <w:rPr>
                <w:color w:val="2E2E2E"/>
                <w:sz w:val="19"/>
                <w:szCs w:val="19"/>
              </w:rPr>
              <w:t xml:space="preserve">Recurring by design: ~CHF 12–17k blended ARR (annual recurring revenue) per active client. ARR ≈ CHF 80–140k (2027) → 200–340k (2028) → 400–680k (2029). Break-even at ~6–8 managed clients. Bootstrap-first; lean and founder-led early. (Figures indicative — we're pre-revenue.)</w:t>
            </w:r>
          </w:p>
        </w:tc>
      </w:tr>
      <w:tr>
        <w:tc>
          <w:tcPr>
            <w:tcW w:type="dxa" w:w="2600"/>
            <w:shd w:fill="FAFAFA" w:val="clear"/>
            <w:tcMar>
              <w:top w:type="dxa" w:w="80"/>
              <w:left w:type="dxa" w:w="120"/>
              <w:bottom w:type="dxa" w:w="80"/>
              <w:right w:type="dxa" w:w="120"/>
            </w:tcMar>
          </w:tcPr>
          <w:p>
            <w:r>
              <w:rPr>
                <w:b/>
                <w:bCs/>
                <w:color w:val="2E2E2E"/>
                <w:sz w:val="19"/>
                <w:szCs w:val="19"/>
              </w:rPr>
              <w:t xml:space="preserve">06  Work packages, owners, milestones (with dates)?</w:t>
            </w:r>
          </w:p>
        </w:tc>
        <w:tc>
          <w:tcPr>
            <w:tcW w:type="dxa" w:w="6760"/>
            <w:tcMar>
              <w:top w:type="dxa" w:w="80"/>
              <w:left w:type="dxa" w:w="120"/>
              <w:bottom w:type="dxa" w:w="80"/>
              <w:right w:type="dxa" w:w="120"/>
            </w:tcMar>
          </w:tcPr>
          <w:p>
            <w:r>
              <w:rPr>
                <w:color w:val="2E2E2E"/>
                <w:sz w:val="19"/>
                <w:szCs w:val="19"/>
              </w:rPr>
              <w:t xml:space="preserve">WP1 Go-to-market (Fit Check, content, outreach) — Founder — live Q3 2026. WP2 Delivery (build + managed service) — Founder → first hire 2027/28 — ongoing. WP3 Productisation &amp; IP/licence library — Founder — from 2027. WP4 CH→EU expansion — Founder + team — 2028. Key dates: Q4 2026 first paying client · Q4 2027 6–8 clients + break-even + first-hire decision · 2028 15–20 clients + first EU client · 2029 30–40 clients, team ~6–8.</w:t>
            </w:r>
          </w:p>
        </w:tc>
      </w:tr>
      <w:tr>
        <w:tc>
          <w:tcPr>
            <w:tcW w:type="dxa" w:w="2600"/>
            <w:shd w:fill="FAFAFA" w:val="clear"/>
            <w:tcMar>
              <w:top w:type="dxa" w:w="80"/>
              <w:left w:type="dxa" w:w="120"/>
              <w:bottom w:type="dxa" w:w="80"/>
              <w:right w:type="dxa" w:w="120"/>
            </w:tcMar>
          </w:tcPr>
          <w:p>
            <w:r>
              <w:rPr>
                <w:b/>
                <w:bCs/>
                <w:color w:val="2E2E2E"/>
                <w:sz w:val="19"/>
                <w:szCs w:val="19"/>
              </w:rPr>
              <w:t xml:space="preserve">07  How will you convince investors / what's the ask?</w:t>
            </w:r>
          </w:p>
        </w:tc>
        <w:tc>
          <w:tcPr>
            <w:tcW w:type="dxa" w:w="6760"/>
            <w:tcMar>
              <w:top w:type="dxa" w:w="80"/>
              <w:left w:type="dxa" w:w="120"/>
              <w:bottom w:type="dxa" w:w="80"/>
              <w:right w:type="dxa" w:w="120"/>
            </w:tcMar>
          </w:tcPr>
          <w:p>
            <w:r>
              <w:rPr>
                <w:color w:val="2E2E2E"/>
                <w:sz w:val="19"/>
                <w:szCs w:val="19"/>
              </w:rPr>
              <w:t xml:space="preserve">Bootstrap-first: the model funds itself from setup + recurring service, so we don't need capital to survive. External funding is optional, only to accelerate — earlier hiring and faster CH→EU expansion (detail on Day 5). The IP now stays in-house and is licensed, which makes the recurring base — and any raise — more defensible.</w:t>
            </w:r>
          </w:p>
        </w:tc>
      </w:tr>
    </w:tbl>
    <w:p>
      <w:pPr>
        <w:pStyle w:val="Heading1"/>
        <w:spacing w:after="120" w:before="320"/>
      </w:pPr>
      <w:r>
        <w:rPr>
          <w:b/>
          <w:bCs/>
          <w:color w:val="2E2E2E"/>
          <w:sz w:val="30"/>
          <w:szCs w:val="30"/>
        </w:rPr>
        <w:t xml:space="preserve">Day 4 — Talking points</w:t>
      </w:r>
    </w:p>
    <w:p>
      <w:pPr>
        <w:spacing w:after="160"/>
      </w:pPr>
      <w:r>
        <w:rPr>
          <w:i/>
          <w:iCs/>
          <w:color w:val="6B6B6B"/>
          <w:sz w:val="20"/>
          <w:szCs w:val="20"/>
        </w:rPr>
        <w:t xml:space="preserve">dream team . board of directors  —  Put a Winning Team at Work</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6760"/>
      </w:tblGrid>
      <w:tr>
        <w:tc>
          <w:tcPr>
            <w:tcW w:type="dxa" w:w="2600"/>
            <w:shd w:fill="FAFAFA" w:val="clear"/>
            <w:tcMar>
              <w:top w:type="dxa" w:w="80"/>
              <w:left w:type="dxa" w:w="120"/>
              <w:bottom w:type="dxa" w:w="80"/>
              <w:right w:type="dxa" w:w="120"/>
            </w:tcMar>
          </w:tcPr>
          <w:p>
            <w:r>
              <w:rPr>
                <w:b/>
                <w:bCs/>
                <w:color w:val="2E2E2E"/>
                <w:sz w:val="19"/>
                <w:szCs w:val="19"/>
              </w:rPr>
              <w:t xml:space="preserve">01  Management skills and toolbox?</w:t>
            </w:r>
          </w:p>
        </w:tc>
        <w:tc>
          <w:tcPr>
            <w:tcW w:type="dxa" w:w="6760"/>
            <w:tcMar>
              <w:top w:type="dxa" w:w="80"/>
              <w:left w:type="dxa" w:w="120"/>
              <w:bottom w:type="dxa" w:w="80"/>
              <w:right w:type="dxa" w:w="120"/>
            </w:tcMar>
          </w:tcPr>
          <w:p>
            <w:r>
              <w:rPr>
                <w:color w:val="2E2E2E"/>
                <w:sz w:val="19"/>
                <w:szCs w:val="19"/>
              </w:rPr>
              <w:t xml:space="preserve">Twenty years of industrial operations: process design, project delivery, client management. The toolbox is the six-phase How We Work — phase-gated, with a written sign-off at every gate — plus fixed-scope delivery and a pricing calculator that sizes each job by complexity. Style: few clients at a time, fixed scope, plain language.</w:t>
            </w:r>
          </w:p>
        </w:tc>
      </w:tr>
      <w:tr>
        <w:tc>
          <w:tcPr>
            <w:tcW w:type="dxa" w:w="2600"/>
            <w:shd w:fill="FAFAFA" w:val="clear"/>
            <w:tcMar>
              <w:top w:type="dxa" w:w="80"/>
              <w:left w:type="dxa" w:w="120"/>
              <w:bottom w:type="dxa" w:w="80"/>
              <w:right w:type="dxa" w:w="120"/>
            </w:tcMar>
          </w:tcPr>
          <w:p>
            <w:r>
              <w:rPr>
                <w:b/>
                <w:bCs/>
                <w:color w:val="2E2E2E"/>
                <w:sz w:val="19"/>
                <w:szCs w:val="19"/>
              </w:rPr>
              <w:t xml:space="preserve">02  Dream team — who you have, who's missing?</w:t>
            </w:r>
          </w:p>
        </w:tc>
        <w:tc>
          <w:tcPr>
            <w:tcW w:type="dxa" w:w="6760"/>
            <w:tcMar>
              <w:top w:type="dxa" w:w="80"/>
              <w:left w:type="dxa" w:w="120"/>
              <w:bottom w:type="dxa" w:w="80"/>
              <w:right w:type="dxa" w:w="120"/>
            </w:tcMar>
          </w:tcPr>
          <w:p>
            <w:r>
              <w:rPr>
                <w:color w:val="2E2E2E"/>
                <w:sz w:val="19"/>
                <w:szCs w:val="19"/>
              </w:rPr>
              <w:t xml:space="preserve">Have: Maciek (founder), currently spanning all four work packages — build, delivery, go-to-market, client relationship. Missing, added as revenue funds each: an automation/delivery engineer (first hire 2027/28), sales/BD (2028), client success, and a CH→EU lead (2028+). Legal/IP and accounting are bought in fractionally, not hired.</w:t>
            </w:r>
          </w:p>
        </w:tc>
      </w:tr>
      <w:tr>
        <w:tc>
          <w:tcPr>
            <w:tcW w:type="dxa" w:w="2600"/>
            <w:shd w:fill="FAFAFA" w:val="clear"/>
            <w:tcMar>
              <w:top w:type="dxa" w:w="80"/>
              <w:left w:type="dxa" w:w="120"/>
              <w:bottom w:type="dxa" w:w="80"/>
              <w:right w:type="dxa" w:w="120"/>
            </w:tcMar>
          </w:tcPr>
          <w:p>
            <w:r>
              <w:rPr>
                <w:b/>
                <w:bCs/>
                <w:color w:val="2E2E2E"/>
                <w:sz w:val="19"/>
                <w:szCs w:val="19"/>
              </w:rPr>
              <w:t xml:space="preserve">03  Competence map and the gaps?</w:t>
            </w:r>
          </w:p>
        </w:tc>
        <w:tc>
          <w:tcPr>
            <w:tcW w:type="dxa" w:w="6760"/>
            <w:tcMar>
              <w:top w:type="dxa" w:w="80"/>
              <w:left w:type="dxa" w:w="120"/>
              <w:bottom w:type="dxa" w:w="80"/>
              <w:right w:type="dxa" w:w="120"/>
            </w:tcMar>
          </w:tcPr>
          <w:p>
            <w:r>
              <w:rPr>
                <w:color w:val="2E2E2E"/>
                <w:sz w:val="19"/>
                <w:szCs w:val="19"/>
              </w:rPr>
              <w:t xml:space="preserve">Map the skills each work package needs (go-to-market, delivery, productisation/IP, expansion) against who covers them. Today one person covers all four — so the first gap is capacity in delivery, not capability. The competence map is really the roadmap read as roles: each stage names the next hire.</w:t>
            </w:r>
          </w:p>
        </w:tc>
      </w:tr>
      <w:tr>
        <w:tc>
          <w:tcPr>
            <w:tcW w:type="dxa" w:w="2600"/>
            <w:shd w:fill="FAFAFA" w:val="clear"/>
            <w:tcMar>
              <w:top w:type="dxa" w:w="80"/>
              <w:left w:type="dxa" w:w="120"/>
              <w:bottom w:type="dxa" w:w="80"/>
              <w:right w:type="dxa" w:w="120"/>
            </w:tcMar>
          </w:tcPr>
          <w:p>
            <w:r>
              <w:rPr>
                <w:b/>
                <w:bCs/>
                <w:color w:val="2E2E2E"/>
                <w:sz w:val="19"/>
                <w:szCs w:val="19"/>
              </w:rPr>
              <w:t xml:space="preserve">04  Integrating co-founders and advisors?</w:t>
            </w:r>
          </w:p>
        </w:tc>
        <w:tc>
          <w:tcPr>
            <w:tcW w:type="dxa" w:w="6760"/>
            <w:tcMar>
              <w:top w:type="dxa" w:w="80"/>
              <w:left w:type="dxa" w:w="120"/>
              <w:bottom w:type="dxa" w:w="80"/>
              <w:right w:type="dxa" w:w="120"/>
            </w:tcMar>
          </w:tcPr>
          <w:p>
            <w:r>
              <w:rPr>
                <w:color w:val="2E2E2E"/>
                <w:sz w:val="19"/>
                <w:szCs w:val="19"/>
              </w:rPr>
              <w:t xml:space="preserve">No co-founder is sought while bootstrapping and founder-led — but open to one who brings a missing core skill (senior engineering or sales) and shares the control-first philosophy. Advisors come in lightly and fractionally first, each tied to a specific gap, never for the title.</w:t>
            </w:r>
          </w:p>
        </w:tc>
      </w:tr>
      <w:tr>
        <w:tc>
          <w:tcPr>
            <w:tcW w:type="dxa" w:w="2600"/>
            <w:shd w:fill="FAFAFA" w:val="clear"/>
            <w:tcMar>
              <w:top w:type="dxa" w:w="80"/>
              <w:left w:type="dxa" w:w="120"/>
              <w:bottom w:type="dxa" w:w="80"/>
              <w:right w:type="dxa" w:w="120"/>
            </w:tcMar>
          </w:tcPr>
          <w:p>
            <w:r>
              <w:rPr>
                <w:b/>
                <w:bCs/>
                <w:color w:val="2E2E2E"/>
                <w:sz w:val="19"/>
                <w:szCs w:val="19"/>
              </w:rPr>
              <w:t xml:space="preserve">05  Board of directors (or dream board)?</w:t>
            </w:r>
          </w:p>
        </w:tc>
        <w:tc>
          <w:tcPr>
            <w:tcW w:type="dxa" w:w="6760"/>
            <w:tcMar>
              <w:top w:type="dxa" w:w="80"/>
              <w:left w:type="dxa" w:w="120"/>
              <w:bottom w:type="dxa" w:w="80"/>
              <w:right w:type="dxa" w:w="120"/>
            </w:tcMar>
          </w:tcPr>
          <w:p>
            <w:r>
              <w:rPr>
                <w:color w:val="2E2E2E"/>
                <w:sz w:val="19"/>
                <w:szCs w:val="19"/>
              </w:rPr>
              <w:t xml:space="preserve">No formal board yet (solo, pre-revenue). Dream advisory board: an SME/industry operator, an AI/automation technical advisor, a DACH B2B go-to-market advisor, and a legal/IP &amp; governance advisor — optionally a first design-partner client. A formal board arrives with external funding; it's there for intros, credibility and governance, not to take decisions from founder or client.</w:t>
            </w:r>
          </w:p>
        </w:tc>
      </w:tr>
      <w:tr>
        <w:tc>
          <w:tcPr>
            <w:tcW w:type="dxa" w:w="2600"/>
            <w:shd w:fill="FAFAFA" w:val="clear"/>
            <w:tcMar>
              <w:top w:type="dxa" w:w="80"/>
              <w:left w:type="dxa" w:w="120"/>
              <w:bottom w:type="dxa" w:w="80"/>
              <w:right w:type="dxa" w:w="120"/>
            </w:tcMar>
          </w:tcPr>
          <w:p>
            <w:r>
              <w:rPr>
                <w:b/>
                <w:bCs/>
                <w:color w:val="2E2E2E"/>
                <w:sz w:val="19"/>
                <w:szCs w:val="19"/>
              </w:rPr>
              <w:t xml:space="preserve">06  Resources against work packages and finances?</w:t>
            </w:r>
          </w:p>
        </w:tc>
        <w:tc>
          <w:tcPr>
            <w:tcW w:type="dxa" w:w="6760"/>
            <w:tcMar>
              <w:top w:type="dxa" w:w="80"/>
              <w:left w:type="dxa" w:w="120"/>
              <w:bottom w:type="dxa" w:w="80"/>
              <w:right w:type="dxa" w:w="120"/>
            </w:tcMar>
          </w:tcPr>
          <w:p>
            <w:r>
              <w:rPr>
                <w:color w:val="2E2E2E"/>
                <w:sz w:val="19"/>
                <w:szCs w:val="19"/>
              </w:rPr>
              <w:t xml:space="preserve">Bottom-up from the work packages and the recurring-revenue model. Founder capacity caps client count until the first hire; each hire is triggered by a revenue threshold (break-even ~6–8 clients → first hire), not a date on the calendar. Setup fees fund the build; managed-service margin funds delivery capacity. The plan grows on cashflow.</w:t>
            </w:r>
          </w:p>
        </w:tc>
      </w:tr>
      <w:tr>
        <w:tc>
          <w:tcPr>
            <w:tcW w:type="dxa" w:w="2600"/>
            <w:shd w:fill="FAFAFA" w:val="clear"/>
            <w:tcMar>
              <w:top w:type="dxa" w:w="80"/>
              <w:left w:type="dxa" w:w="120"/>
              <w:bottom w:type="dxa" w:w="80"/>
              <w:right w:type="dxa" w:w="120"/>
            </w:tcMar>
          </w:tcPr>
          <w:p>
            <w:r>
              <w:rPr>
                <w:b/>
                <w:bCs/>
                <w:color w:val="2E2E2E"/>
                <w:sz w:val="19"/>
                <w:szCs w:val="19"/>
              </w:rPr>
              <w:t xml:space="preserve">07  Term sheets &amp; shareholder agreements?</w:t>
            </w:r>
          </w:p>
        </w:tc>
        <w:tc>
          <w:tcPr>
            <w:tcW w:type="dxa" w:w="6760"/>
            <w:tcMar>
              <w:top w:type="dxa" w:w="80"/>
              <w:left w:type="dxa" w:w="120"/>
              <w:bottom w:type="dxa" w:w="80"/>
              <w:right w:type="dxa" w:w="120"/>
            </w:tcMar>
          </w:tcPr>
          <w:p>
            <w:r>
              <w:rPr>
                <w:color w:val="2E2E2E"/>
                <w:sz w:val="19"/>
                <w:szCs w:val="19"/>
              </w:rPr>
              <w:t xml:space="preserve">Bootstrap-first, so a raise is optional and only to accelerate (detail on Day 5). If we raise: keep founder control (the whole model is control-first), protect the IP/licence library in the agreements, and use standard Swiss instruments. Know the key term-sheet levers before signing — valuation, option pool, liquidation preference, board seats, vesting — with counsel and the legal/IP advisor reviewing every term. IP stays licensed, which keeps the recurring base defensible in any deal.</w:t>
            </w:r>
          </w:p>
        </w:tc>
      </w:tr>
    </w:tbl>
    <w:p>
      <w:pPr>
        <w:pStyle w:val="Heading1"/>
        <w:spacing w:after="120" w:before="320"/>
      </w:pPr>
      <w:r>
        <w:rPr>
          <w:b/>
          <w:bCs/>
          <w:color w:val="2E2E2E"/>
          <w:sz w:val="30"/>
          <w:szCs w:val="30"/>
        </w:rPr>
        <w:t xml:space="preserve">Day 5 — Pitch delivery script  (new in v03)</w:t>
      </w:r>
    </w:p>
    <w:p>
      <w:pPr>
        <w:spacing w:after="160"/>
      </w:pPr>
      <w:r>
        <w:rPr>
          <w:i/>
          <w:iCs/>
          <w:color w:val="6B6B6B"/>
          <w:sz w:val="20"/>
          <w:szCs w:val="20"/>
        </w:rPr>
        <w:t xml:space="preserve">how to land the 5-minute jury pitch — the inbound “advise” flow, adapted</w:t>
      </w:r>
    </w:p>
    <w:p>
      <w:pPr>
        <w:spacing w:after="100"/>
      </w:pPr>
      <w:r>
        <w:rPr>
          <w:b/>
          <w:bCs/>
          <w:color w:val="B0143C"/>
          <w:sz w:val="19"/>
          <w:szCs w:val="19"/>
        </w:rPr>
        <w:t xml:space="preserve">The trap (HubSpot calls it “backwards”): </w:t>
      </w:r>
      <w:r>
        <w:rPr>
          <w:color w:val="2E2E2E"/>
          <w:sz w:val="19"/>
          <w:szCs w:val="19"/>
        </w:rPr>
        <w:t xml:space="preserve">most pitches open with “here's who we are” and end at “here's where you sign.” That leads with the seller. Lead with the buyer instead and guide them to the decision.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6760"/>
      </w:tblGrid>
      <w:tr>
        <w:tc>
          <w:tcPr>
            <w:tcW w:type="dxa" w:w="2600"/>
            <w:shd w:fill="FAFAFA" w:val="clear"/>
            <w:tcMar>
              <w:top w:type="dxa" w:w="80"/>
              <w:left w:type="dxa" w:w="120"/>
              <w:bottom w:type="dxa" w:w="80"/>
              <w:right w:type="dxa" w:w="120"/>
            </w:tcMar>
          </w:tcPr>
          <w:p>
            <w:r>
              <w:rPr>
                <w:b/>
                <w:bCs/>
                <w:color w:val="2E2E2E"/>
                <w:sz w:val="19"/>
                <w:szCs w:val="19"/>
              </w:rPr>
              <w:t xml:space="preserve">1  Here's what we heard</w:t>
            </w:r>
          </w:p>
        </w:tc>
        <w:tc>
          <w:tcPr>
            <w:tcW w:type="dxa" w:w="6760"/>
            <w:tcMar>
              <w:top w:type="dxa" w:w="80"/>
              <w:left w:type="dxa" w:w="120"/>
              <w:bottom w:type="dxa" w:w="80"/>
              <w:right w:type="dxa" w:w="120"/>
            </w:tcMar>
          </w:tcPr>
          <w:p>
            <w:r>
              <w:rPr>
                <w:color w:val="2E2E2E"/>
                <w:sz w:val="19"/>
                <w:szCs w:val="19"/>
              </w:rPr>
              <w:t xml:space="preserve">Open on the problem SMEs describe unprompted — simple tasks, repeated every day; the cost is that it never stops. (Problem slide.)</w:t>
            </w:r>
          </w:p>
        </w:tc>
      </w:tr>
      <w:tr>
        <w:tc>
          <w:tcPr>
            <w:tcW w:type="dxa" w:w="2600"/>
            <w:shd w:fill="FAFAFA" w:val="clear"/>
            <w:tcMar>
              <w:top w:type="dxa" w:w="80"/>
              <w:left w:type="dxa" w:w="120"/>
              <w:bottom w:type="dxa" w:w="80"/>
              <w:right w:type="dxa" w:w="120"/>
            </w:tcMar>
          </w:tcPr>
          <w:p>
            <w:r>
              <w:rPr>
                <w:b/>
                <w:bCs/>
                <w:color w:val="2E2E2E"/>
                <w:sz w:val="19"/>
                <w:szCs w:val="19"/>
              </w:rPr>
              <w:t xml:space="preserve">2  How peers think about the change</w:t>
            </w:r>
          </w:p>
        </w:tc>
        <w:tc>
          <w:tcPr>
            <w:tcW w:type="dxa" w:w="6760"/>
            <w:tcMar>
              <w:top w:type="dxa" w:w="80"/>
              <w:left w:type="dxa" w:w="120"/>
              <w:bottom w:type="dxa" w:w="80"/>
              <w:right w:type="dxa" w:w="120"/>
            </w:tcMar>
          </w:tcPr>
          <w:p>
            <w:r>
              <w:rPr>
                <w:color w:val="2E2E2E"/>
                <w:sz w:val="19"/>
                <w:szCs w:val="19"/>
              </w:rPr>
              <w:t xml:space="preserve">Teams in this situation want AI's help but fear its autonomy — the cautious middle. Name that tension; it's where your buyer lives. (Market slide.)</w:t>
            </w:r>
          </w:p>
        </w:tc>
      </w:tr>
      <w:tr>
        <w:tc>
          <w:tcPr>
            <w:tcW w:type="dxa" w:w="2600"/>
            <w:shd w:fill="FAFAFA" w:val="clear"/>
            <w:tcMar>
              <w:top w:type="dxa" w:w="80"/>
              <w:left w:type="dxa" w:w="120"/>
              <w:bottom w:type="dxa" w:w="80"/>
              <w:right w:type="dxa" w:w="120"/>
            </w:tcMar>
          </w:tcPr>
          <w:p>
            <w:r>
              <w:rPr>
                <w:b/>
                <w:bCs/>
                <w:color w:val="2E2E2E"/>
                <w:sz w:val="19"/>
                <w:szCs w:val="19"/>
              </w:rPr>
              <w:t xml:space="preserve">3  Pros and cons of each approach</w:t>
            </w:r>
          </w:p>
        </w:tc>
        <w:tc>
          <w:tcPr>
            <w:tcW w:type="dxa" w:w="6760"/>
            <w:tcMar>
              <w:top w:type="dxa" w:w="80"/>
              <w:left w:type="dxa" w:w="120"/>
              <w:bottom w:type="dxa" w:w="80"/>
              <w:right w:type="dxa" w:w="120"/>
            </w:tcMar>
          </w:tcPr>
          <w:p>
            <w:r>
              <w:rPr>
                <w:color w:val="2E2E2E"/>
                <w:sz w:val="19"/>
                <w:szCs w:val="19"/>
              </w:rPr>
              <w:t xml:space="preserve">DIY tools, full-autonomy AI, hiring an ops person, or doing nothing — each with an honest trade-off. Don't hide the alternatives; weigh them. (Competition slide.)</w:t>
            </w:r>
          </w:p>
        </w:tc>
      </w:tr>
      <w:tr>
        <w:tc>
          <w:tcPr>
            <w:tcW w:type="dxa" w:w="2600"/>
            <w:shd w:fill="FAFAFA" w:val="clear"/>
            <w:tcMar>
              <w:top w:type="dxa" w:w="80"/>
              <w:left w:type="dxa" w:w="120"/>
              <w:bottom w:type="dxa" w:w="80"/>
              <w:right w:type="dxa" w:w="120"/>
            </w:tcMar>
          </w:tcPr>
          <w:p>
            <w:r>
              <w:rPr>
                <w:b/>
                <w:bCs/>
                <w:color w:val="2E2E2E"/>
                <w:sz w:val="19"/>
                <w:szCs w:val="19"/>
              </w:rPr>
              <w:t xml:space="preserve">4  The approach that fits</w:t>
            </w:r>
          </w:p>
        </w:tc>
        <w:tc>
          <w:tcPr>
            <w:tcW w:type="dxa" w:w="6760"/>
            <w:tcMar>
              <w:top w:type="dxa" w:w="80"/>
              <w:left w:type="dxa" w:w="120"/>
              <w:bottom w:type="dxa" w:w="80"/>
              <w:right w:type="dxa" w:w="120"/>
            </w:tcMar>
          </w:tcPr>
          <w:p>
            <w:r>
              <w:rPr>
                <w:color w:val="2E2E2E"/>
                <w:sz w:val="19"/>
                <w:szCs w:val="19"/>
              </w:rPr>
              <w:t xml:space="preserve">Managed, human-in-the-loop automation — built and run for them, approving every step. (Advantage.)</w:t>
            </w:r>
          </w:p>
        </w:tc>
      </w:tr>
      <w:tr>
        <w:tc>
          <w:tcPr>
            <w:tcW w:type="dxa" w:w="2600"/>
            <w:shd w:fill="FAFAFA" w:val="clear"/>
            <w:tcMar>
              <w:top w:type="dxa" w:w="80"/>
              <w:left w:type="dxa" w:w="120"/>
              <w:bottom w:type="dxa" w:w="80"/>
              <w:right w:type="dxa" w:w="120"/>
            </w:tcMar>
          </w:tcPr>
          <w:p>
            <w:r>
              <w:rPr>
                <w:b/>
                <w:bCs/>
                <w:color w:val="2E2E2E"/>
                <w:sz w:val="19"/>
                <w:szCs w:val="19"/>
              </w:rPr>
              <w:t xml:space="preserve">5  Why it makes sense for them</w:t>
            </w:r>
          </w:p>
        </w:tc>
        <w:tc>
          <w:tcPr>
            <w:tcW w:type="dxa" w:w="6760"/>
            <w:tcMar>
              <w:top w:type="dxa" w:w="80"/>
              <w:left w:type="dxa" w:w="120"/>
              <w:bottom w:type="dxa" w:w="80"/>
              <w:right w:type="dxa" w:w="120"/>
            </w:tcMar>
          </w:tcPr>
          <w:p>
            <w:r>
              <w:rPr>
                <w:color w:val="2E2E2E"/>
                <w:sz w:val="19"/>
                <w:szCs w:val="19"/>
              </w:rPr>
              <w:t xml:space="preserve">Control stays theirs, data stays theirs, people aren't replaced. Benefits, not features.</w:t>
            </w:r>
          </w:p>
        </w:tc>
      </w:tr>
      <w:tr>
        <w:tc>
          <w:tcPr>
            <w:tcW w:type="dxa" w:w="2600"/>
            <w:shd w:fill="FAFAFA" w:val="clear"/>
            <w:tcMar>
              <w:top w:type="dxa" w:w="80"/>
              <w:left w:type="dxa" w:w="120"/>
              <w:bottom w:type="dxa" w:w="80"/>
              <w:right w:type="dxa" w:w="120"/>
            </w:tcMar>
          </w:tcPr>
          <w:p>
            <w:r>
              <w:rPr>
                <w:b/>
                <w:bCs/>
                <w:color w:val="2E2E2E"/>
                <w:sz w:val="19"/>
                <w:szCs w:val="19"/>
              </w:rPr>
              <w:t xml:space="preserve">6  How we support it</w:t>
            </w:r>
          </w:p>
        </w:tc>
        <w:tc>
          <w:tcPr>
            <w:tcW w:type="dxa" w:w="6760"/>
            <w:tcMar>
              <w:top w:type="dxa" w:w="80"/>
              <w:left w:type="dxa" w:w="120"/>
              <w:bottom w:type="dxa" w:w="80"/>
              <w:right w:type="dxa" w:w="120"/>
            </w:tcMar>
          </w:tcPr>
          <w:p>
            <w:r>
              <w:rPr>
                <w:color w:val="2E2E2E"/>
                <w:sz w:val="19"/>
                <w:szCs w:val="19"/>
              </w:rPr>
              <w:t xml:space="preserve">The six-phase How We Work, priced to the scope and ownership they choose; break-even at ~6–8 clients, bootstrap-first. (Solution / Financials.)</w:t>
            </w:r>
          </w:p>
        </w:tc>
      </w:tr>
    </w:tbl>
    <w:p>
      <w:pPr>
        <w:pBdr>
          <w:left w:val="single" w:color="B0143C" w:sz="18" w:space="8"/>
        </w:pBdr>
        <w:shd w:fill="F2F2F2" w:val="clear"/>
        <w:spacing w:after="100" w:before="100"/>
      </w:pPr>
      <w:r>
        <w:rPr>
          <w:color w:val="2E2E2E"/>
          <w:sz w:val="19"/>
          <w:szCs w:val="19"/>
        </w:rPr>
        <w:t xml:space="preserve">Buyer's-journey framing (use throughout): your SME is aware of the problem but stuck between consideration and decision because full-autonomy AI scares them. The pitch meets them mid-journey and guides the decision — connect before the decision stage, don't wait at it. Keep it a conversation with the jury, not a monologue; lead with benefits, not features.</w:t>
      </w:r>
    </w:p>
    <w:p>
      <w:pPr>
        <w:spacing w:before="240"/>
      </w:pPr>
      <w:r>
        <w:rPr>
          <w:i/>
          <w:iCs/>
          <w:color w:val="6B6B6B"/>
          <w:sz w:val="18"/>
          <w:szCs w:val="18"/>
        </w:rPr>
        <w:t xml:space="preserve">Pre-customer posture: show which answers are validated (few) and which are hypotheses with a test plan — that reads as competence, not weakness.</w:t>
      </w:r>
    </w:p>
    <w:p>
      <w:pPr>
        <w:spacing w:before="80"/>
      </w:pPr>
      <w:r>
        <w:rPr>
          <w:color w:val="6B6B6B"/>
          <w:sz w:val="18"/>
          <w:szCs w:val="18"/>
        </w:rPr>
        <w:t xml:space="preserve">vortexdeep.ch</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2026-08-22T13:04:41.310Z</dcterms:created>
  <dcterms:modified xsi:type="dcterms:W3CDTF">2026-08-22T13:04:41.324Z</dcterms:modified>
</cp:coreProperties>
</file>

<file path=docProps/custom.xml><?xml version="1.0" encoding="utf-8"?>
<Properties xmlns="http://schemas.openxmlformats.org/officeDocument/2006/custom-properties" xmlns:vt="http://schemas.openxmlformats.org/officeDocument/2006/docPropsVTypes"/>
</file>