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v08</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a live Swiss SME pilot.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Cost-of-inaction / ROI model — </w:t>
      </w:r>
      <w:r>
        <w:rPr>
          <w:color w:val="2E2E2E"/>
          <w:sz w:val="19"/>
          <w:szCs w:val="19"/>
        </w:rPr>
        <w:t xml:space="preserve">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Swiss SME pilot — </w:t>
      </w:r>
      <w:r>
        <w:rPr>
          <w:color w:val="2E2E2E"/>
          <w:sz w:val="19"/>
          <w:szCs w:val="19"/>
        </w:rPr>
        <w:t xml:space="preserve">an unpaid test-and-implementation engagement (email-handling automation) with a Swiss SME: our first real implementation and reference case in progress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in prospect meetings we quantify their cost of inaction (time, errors, lost leads) against our setup + monthly cost — money talks, and it moves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with a Swiss SME.</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with a Swiss SME.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now with a Swiss SME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we can put a per-prospect value model on the table — their cost of doing nothing versus our cost — even before we have revenue. It's a prospect-meeting tool, not a jury figure; the numbers are the prospect's own.</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number earns its place — money talks. (You describe it here; you run the full model with a real prospect, not on stage.)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What's already in motion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Close on proof that this isn't just a plan: a live email-handling pilot is already running with a Swiss SME — our first reference case — and we can put a number on any prospect's cost of inaction to show the ROI.</w:t>
            </w:r>
          </w:p>
          <w:p>
            <w:pPr>
              <w:spacing w:after="40"/>
            </w:pPr>
            <w:r>
              <w:rPr>
                <w:b/>
                <w:bCs/>
                <w:color w:val="B0143C"/>
                <w:sz w:val="19"/>
                <w:szCs w:val="19"/>
              </w:rPr>
              <w:t xml:space="preserve">Say both, demo neither: </w:t>
            </w:r>
            <w:r>
              <w:rPr>
                <w:color w:val="2E2E2E"/>
                <w:sz w:val="19"/>
                <w:szCs w:val="19"/>
              </w:rPr>
              <w:t xml:space="preserve">mention the pilot and the cost-of-inaction number out loud; you run the full ROI model with a real prospect afterwards, not on stage.</w:t>
            </w:r>
          </w:p>
        </w:tc>
      </w:tr>
    </w:tbl>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2026-08-22T15:54:45.164Z</dcterms:created>
  <dcterms:modified xsi:type="dcterms:W3CDTF">2026-08-22T15:54:45.178Z</dcterms:modified>
</cp:coreProperties>
</file>

<file path=docProps/custom.xml><?xml version="1.0" encoding="utf-8"?>
<Properties xmlns="http://schemas.openxmlformats.org/officeDocument/2006/custom-properties" xmlns:vt="http://schemas.openxmlformats.org/officeDocument/2006/docPropsVTypes"/>
</file>