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v11</w:t>
      </w:r>
    </w:p>
    <w:p>
      <w:pPr>
        <w:spacing w:after="100"/>
      </w:pPr>
      <w:r>
        <w:rPr>
          <w:color w:val="2E2E2E"/>
          <w:sz w:val="19"/>
          <w:szCs w:val="19"/>
        </w:rPr>
        <w:t xml:space="preserve">Plain-language version. Each answer is written to be spoken aloud and carries a status tag. Where an answer is a hypothesis, it names the concrete instrument we use to test it — including a live Swiss SME pilot.</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pPr>
        <w:spacing w:after="30"/>
        <w:ind w:left="200"/>
      </w:pPr>
      <w:r>
        <w:rPr>
          <w:b/>
          <w:bCs/>
          <w:color w:val="2E2E2E"/>
          <w:sz w:val="19"/>
          <w:szCs w:val="19"/>
        </w:rPr>
        <w:t xml:space="preserve">3  Cost-of-inaction / ROI model — </w:t>
      </w:r>
      <w:r>
        <w:rPr>
          <w:color w:val="2E2E2E"/>
          <w:sz w:val="19"/>
          <w:szCs w:val="19"/>
        </w:rPr>
        <w:t xml:space="preserve">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spacing w:after="120"/>
        <w:ind w:left="200"/>
      </w:pPr>
      <w:r>
        <w:rPr>
          <w:b/>
          <w:bCs/>
          <w:color w:val="2E2E2E"/>
          <w:sz w:val="19"/>
          <w:szCs w:val="19"/>
        </w:rPr>
        <w:t xml:space="preserve">5  Live Swiss SME pilot — </w:t>
      </w:r>
      <w:r>
        <w:rPr>
          <w:color w:val="2E2E2E"/>
          <w:sz w:val="19"/>
          <w:szCs w:val="19"/>
        </w:rPr>
        <w:t xml:space="preserve">an unpaid test-and-implementation engagement (email-handling automation) with a Swiss SME: our first real implementation and reference case in progress — a real build we can point to, not just a claim.</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years inside SMEs (operations, sales and design).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in prospect meetings we quantify their cost of inaction (time, errors, lost leads) against our setup + monthly cost — money talks, and it moves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 And a first reference case is already in progress: a live, unpaid email-handling pilot with a Swiss SME.</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pPr>
              <w:spacing w:after="40"/>
            </w:pPr>
            <w:r>
              <w:rPr>
                <w:b/>
                <w:bCs/>
                <w:color w:val="B0143C"/>
                <w:sz w:val="19"/>
                <w:szCs w:val="19"/>
              </w:rPr>
              <w:t xml:space="preserve">In progress: </w:t>
            </w:r>
            <w:r>
              <w:rPr>
                <w:color w:val="2E2E2E"/>
                <w:sz w:val="19"/>
                <w:szCs w:val="19"/>
              </w:rPr>
              <w:t xml:space="preserve">the 2026 “first automation live / one reference case” step is already under way — an unpaid email-handling pilot with a Swiss SME.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pPr>
              <w:spacing w:after="40"/>
            </w:pPr>
            <w:r>
              <w:rPr>
                <w:b/>
                <w:bCs/>
                <w:color w:val="B0143C"/>
                <w:sz w:val="19"/>
                <w:szCs w:val="19"/>
              </w:rPr>
              <w:t xml:space="preserve">Live now: </w:t>
            </w:r>
            <w:r>
              <w:rPr>
                <w:color w:val="2E2E2E"/>
                <w:sz w:val="19"/>
                <w:szCs w:val="19"/>
              </w:rPr>
              <w:t xml:space="preserve">the hands-on trial on one process is running now with a Swiss SME (email handling) — unpaid, as a test-and-implementation exercise.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we can put a per-prospect value model on the table — their cost of doing nothing versus our cost — even before we have revenue. It's a prospect-meeting tool, not a jury figure; the numbers are the prospect's own.</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cost-of-inaction number earns its place — money talks. (You describe it here; you run the full model with a real prospect, not on stage.)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What's already in motion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Close on proof that this isn't just a plan: a live email-handling pilot is already running with a Swiss SME — our first reference case — and we can put a number on any prospect's cost of inaction to show the ROI.</w:t>
            </w:r>
          </w:p>
          <w:p>
            <w:pPr>
              <w:spacing w:after="40"/>
            </w:pPr>
            <w:r>
              <w:rPr>
                <w:b/>
                <w:bCs/>
                <w:color w:val="B0143C"/>
                <w:sz w:val="19"/>
                <w:szCs w:val="19"/>
              </w:rPr>
              <w:t xml:space="preserve">Say both, demo neither: </w:t>
            </w:r>
            <w:r>
              <w:rPr>
                <w:color w:val="2E2E2E"/>
                <w:sz w:val="19"/>
                <w:szCs w:val="19"/>
              </w:rPr>
              <w:t xml:space="preserve">mention the pilot and the cost-of-inaction number out loud; you run the full ROI model with a real prospect afterwards, not on stage.</w:t>
            </w:r>
          </w:p>
        </w:tc>
      </w:tr>
    </w:tbl>
    <w:p>
      <w:pPr>
        <w:pBdr>
          <w:left w:val="single" w:color="B0143C" w:sz="18" w:space="8"/>
        </w:pBdr>
        <w:shd w:fill="F2F2F2" w:val="clear"/>
        <w:spacing w:after="120" w:before="120"/>
      </w:pPr>
      <w:r>
        <w:rPr>
          <w:b/>
          <w:bCs/>
          <w:color w:val="B0143C"/>
          <w:sz w:val="19"/>
          <w:szCs w:val="19"/>
        </w:rPr>
        <w:t xml:space="preserve">If the jury asks “what’s the ROI?” </w:t>
      </w:r>
      <w:r>
        <w:rPr>
          <w:color w:val="2E2E2E"/>
          <w:sz w:val="19"/>
          <w:szCs w:val="19"/>
        </w:rPr>
        <w:t xml:space="preserve">Yes — show it, but say it out loud; don’t put the spreadsheet on the screen. Give one example in round numbers: “Take two people spending about four hours a week each on the task, at roughly 80 francs an hour — that’s about 2,500 francs a month, just in time, before counting mistakes or missed leads. Our managed fee for a job that size is around 1,600 a month, plus a one-time setup near 3,500. So they’re ahead every month, and the setup pays back in about two to three months.” State your assumptions as you say them, and add one line: the numbers are the client’s own — the tool just does the maths. If they want to see the calculator itself, offer to open it on your laptop afterwards, not on the main screen.</w:t>
      </w:r>
    </w:p>
    <w:p>
      <w:pPr>
        <w:pBdr>
          <w:left w:val="single" w:color="B0143C" w:sz="18" w:space="8"/>
        </w:pBdr>
        <w:shd w:fill="F2F2F2" w:val="clear"/>
        <w:spacing w:after="120" w:before="120"/>
      </w:pPr>
      <w:r>
        <w:rPr>
          <w:b/>
          <w:bCs/>
          <w:color w:val="B0143C"/>
          <w:sz w:val="19"/>
          <w:szCs w:val="19"/>
        </w:rPr>
        <w:t xml:space="preserve">Remember the room: </w:t>
      </w:r>
      <w:r>
        <w:rPr>
          <w:color w:val="2E2E2E"/>
          <w:sz w:val="19"/>
          <w:szCs w:val="19"/>
        </w:rPr>
        <w:t xml:space="preserve">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pStyle w:val="Heading1"/>
        <w:spacing w:after="60" w:before="320"/>
      </w:pPr>
      <w:r>
        <w:rPr>
          <w:b/>
          <w:bCs/>
          <w:color w:val="2E2E2E"/>
          <w:sz w:val="28"/>
          <w:szCs w:val="28"/>
        </w:rPr>
        <w:t xml:space="preserve">Day 5 — Full spoken script (slide by slide)</w:t>
      </w:r>
    </w:p>
    <w:p>
      <w:pPr>
        <w:spacing w:after="140"/>
      </w:pPr>
      <w:r>
        <w:rPr>
          <w:i/>
          <w:iCs/>
          <w:color w:val="6B6B6B"/>
          <w:sz w:val="19"/>
          <w:szCs w:val="19"/>
        </w:rPr>
        <w:t xml:space="preserve">the same flow, written out in your own voice — 9 slides, about 4 minutes, ~30 seconds a slide</w:t>
      </w:r>
    </w:p>
    <w:p>
      <w:pPr>
        <w:pBdr>
          <w:left w:val="single" w:color="B0143C" w:sz="18" w:space="8"/>
        </w:pBdr>
        <w:shd w:fill="F2F2F2" w:val="clear"/>
        <w:spacing w:after="120" w:before="120"/>
      </w:pPr>
      <w:r>
        <w:rPr>
          <w:b/>
          <w:bCs/>
          <w:color w:val="B0143C"/>
          <w:sz w:val="19"/>
          <w:szCs w:val="19"/>
        </w:rPr>
        <w:t xml:space="preserve">Say it in your own words. </w:t>
      </w:r>
      <w:r>
        <w:rPr>
          <w:color w:val="2E2E2E"/>
          <w:sz w:val="19"/>
          <w:szCs w:val="19"/>
        </w:rPr>
        <w:t xml:space="preserve">This is the flow and the wording to lean on, not a script to memorise line-for-line. Short sentences, look up at the room, lead with the benefit. Timings are a guide — they add up to about four minutes, leaving room to breathe.</w:t>
      </w:r>
    </w:p>
    <w:p>
      <w:pPr>
        <w:keepNext/>
        <w:spacing w:after="20" w:before="140"/>
      </w:pPr>
      <w:r>
        <w:rPr>
          <w:b/>
          <w:bCs/>
          <w:color w:val="B0143C"/>
          <w:sz w:val="20"/>
          <w:szCs w:val="20"/>
        </w:rPr>
        <w:t xml:space="preserve">Slide 1 — Introduction</w:t>
      </w:r>
      <w:r>
        <w:rPr>
          <w:color w:val="6B6B6B"/>
          <w:sz w:val="16"/>
          <w:szCs w:val="16"/>
        </w:rPr>
        <w:t xml:space="preserve">   (~15s)</w:t>
      </w:r>
    </w:p>
    <w:p>
      <w:pPr>
        <w:spacing w:after="40"/>
        <w:ind w:left="120"/>
      </w:pPr>
      <w:r>
        <w:rPr>
          <w:color w:val="2E2E2E"/>
          <w:sz w:val="20"/>
          <w:szCs w:val="20"/>
        </w:rPr>
        <w:t xml:space="preserve">“Hi, I’m Maciek, founder of VortexDeep. In one line: we take the repetitive admin that eats a small company’s week, and we turn it into an AI workflow — with a person still approving every step. Let me show you why that matters.”</w:t>
      </w:r>
    </w:p>
    <w:p>
      <w:pPr>
        <w:keepNext/>
        <w:spacing w:after="20" w:before="140"/>
      </w:pPr>
      <w:r>
        <w:rPr>
          <w:b/>
          <w:bCs/>
          <w:color w:val="B0143C"/>
          <w:sz w:val="20"/>
          <w:szCs w:val="20"/>
        </w:rPr>
        <w:t xml:space="preserve">Slide 2 — Problem</w:t>
      </w:r>
      <w:r>
        <w:rPr>
          <w:color w:val="6B6B6B"/>
          <w:sz w:val="16"/>
          <w:szCs w:val="16"/>
        </w:rPr>
        <w:t xml:space="preserve">   (~30s)</w:t>
      </w:r>
    </w:p>
    <w:p>
      <w:pPr>
        <w:spacing w:after="40"/>
        <w:ind w:left="120"/>
      </w:pPr>
      <w:r>
        <w:rPr>
          <w:color w:val="2E2E2E"/>
          <w:sz w:val="20"/>
          <w:szCs w:val="20"/>
        </w:rPr>
        <w:t xml:space="preserve">“Every small business runs on the same simple tasks, repeated every single day. Emails read, sorted and answered. Documents checked and filed. Quotes and renewals chased. Reports pulled together every week. Each one is easy the first time — the problem isn’t any single task, it’s that it never stops. And while you’re heads-down on one, the rest pile up — not because they don’t matter, but because there’s only so much of you.”</w:t>
      </w:r>
    </w:p>
    <w:p>
      <w:pPr>
        <w:keepNext/>
        <w:spacing w:after="20" w:before="140"/>
      </w:pPr>
      <w:r>
        <w:rPr>
          <w:b/>
          <w:bCs/>
          <w:color w:val="B0143C"/>
          <w:sz w:val="20"/>
          <w:szCs w:val="20"/>
        </w:rPr>
        <w:t xml:space="preserve">Slide 3 — Solution</w:t>
      </w:r>
      <w:r>
        <w:rPr>
          <w:color w:val="6B6B6B"/>
          <w:sz w:val="16"/>
          <w:szCs w:val="16"/>
        </w:rPr>
        <w:t xml:space="preserve">   (~35s)</w:t>
      </w:r>
    </w:p>
    <w:p>
      <w:pPr>
        <w:spacing w:after="40"/>
        <w:ind w:left="120"/>
      </w:pPr>
      <w:r>
        <w:rPr>
          <w:color w:val="2E2E2E"/>
          <w:sz w:val="20"/>
          <w:szCs w:val="20"/>
        </w:rPr>
        <w:t xml:space="preserve">“So here’s what we do about it. We turn those repetitive tasks into an AI workflow. The AI does the work on all of them — not just the one you’d have got to — and then it stops and waits. Each one comes back to you finished, ready for a yes or a no. Nothing is sent, paid or filed on its own; you still decide every item. The bottleneck is gone, but the control stays yours. We usually start with the task costing you the most hours, and add from there.”</w:t>
      </w:r>
    </w:p>
    <w:p>
      <w:pPr>
        <w:keepNext/>
        <w:spacing w:after="20" w:before="140"/>
      </w:pPr>
      <w:r>
        <w:rPr>
          <w:b/>
          <w:bCs/>
          <w:color w:val="B0143C"/>
          <w:sz w:val="20"/>
          <w:szCs w:val="20"/>
        </w:rPr>
        <w:t xml:space="preserve">Slide 4 — Market</w:t>
      </w:r>
      <w:r>
        <w:rPr>
          <w:color w:val="6B6B6B"/>
          <w:sz w:val="16"/>
          <w:szCs w:val="16"/>
        </w:rPr>
        <w:t xml:space="preserve">   (~25s)</w:t>
      </w:r>
    </w:p>
    <w:p>
      <w:pPr>
        <w:spacing w:after="40"/>
        <w:ind w:left="120"/>
      </w:pPr>
      <w:r>
        <w:rPr>
          <w:color w:val="2E2E2E"/>
          <w:sz w:val="20"/>
          <w:szCs w:val="20"/>
        </w:rPr>
        <w:t xml:space="preserve">“Who is this for? Small and mid-sized companies, starting here in Switzerland — and specifically the ones who want AI’s help but not its autonomy. They know they have the problem, but they’re nervous about handing control to a black box. That’s exactly the group we serve.”</w:t>
      </w:r>
    </w:p>
    <w:p>
      <w:pPr>
        <w:keepNext/>
        <w:spacing w:after="20" w:before="140"/>
      </w:pPr>
      <w:r>
        <w:rPr>
          <w:b/>
          <w:bCs/>
          <w:color w:val="B0143C"/>
          <w:sz w:val="20"/>
          <w:szCs w:val="20"/>
        </w:rPr>
        <w:t xml:space="preserve">Slide 5 — Competition &amp; Advantage</w:t>
      </w:r>
      <w:r>
        <w:rPr>
          <w:color w:val="6B6B6B"/>
          <w:sz w:val="16"/>
          <w:szCs w:val="16"/>
        </w:rPr>
        <w:t xml:space="preserve">   (~45s)</w:t>
      </w:r>
    </w:p>
    <w:p>
      <w:pPr>
        <w:spacing w:after="40"/>
        <w:ind w:left="120"/>
      </w:pPr>
      <w:r>
        <w:rPr>
          <w:color w:val="2E2E2E"/>
          <w:sz w:val="20"/>
          <w:szCs w:val="20"/>
        </w:rPr>
        <w:t xml:space="preserve">“They’ve got four ways to deal with this, and each has a catch. Build it themselves with DIY tools — cheap, but now they’re maintaining software. Use a full-autonomy AI — fast, but a black box they can’t oversee. Hire someone — that’s headcount, and it’s still manual. Or do nothing — and the cost quietly piles up every day. We’re the fifth option, built for that cautious middle: we build it and run it for you, a person approves every step, your data stays yours, and your people aren’t replaced. And it’s personal — the person who builds it answers the phone.”</w:t>
      </w:r>
    </w:p>
    <w:p>
      <w:pPr>
        <w:keepNext/>
        <w:spacing w:after="20" w:before="140"/>
      </w:pPr>
      <w:r>
        <w:rPr>
          <w:b/>
          <w:bCs/>
          <w:color w:val="B0143C"/>
          <w:sz w:val="20"/>
          <w:szCs w:val="20"/>
        </w:rPr>
        <w:t xml:space="preserve">Slide 6 — Roadmap</w:t>
      </w:r>
      <w:r>
        <w:rPr>
          <w:color w:val="6B6B6B"/>
          <w:sz w:val="16"/>
          <w:szCs w:val="16"/>
        </w:rPr>
        <w:t xml:space="preserve">   (~25s)</w:t>
      </w:r>
    </w:p>
    <w:p>
      <w:pPr>
        <w:spacing w:after="40"/>
        <w:ind w:left="120"/>
      </w:pPr>
      <w:r>
        <w:rPr>
          <w:color w:val="2E2E2E"/>
          <w:sz w:val="20"/>
          <w:szCs w:val="20"/>
        </w:rPr>
        <w:t xml:space="preserve">“The plan is to start narrow and prove it. A couple of Swiss clients this year, break-even around six to eight clients next year, then widen into the EU. Land one process inside a company, prove it, then grow within the account. Each step pays for the next.”</w:t>
      </w:r>
    </w:p>
    <w:p>
      <w:pPr>
        <w:keepNext/>
        <w:spacing w:after="20" w:before="140"/>
      </w:pPr>
      <w:r>
        <w:rPr>
          <w:b/>
          <w:bCs/>
          <w:color w:val="B0143C"/>
          <w:sz w:val="20"/>
          <w:szCs w:val="20"/>
        </w:rPr>
        <w:t xml:space="preserve">Slide 7 — Financial Plan</w:t>
      </w:r>
      <w:r>
        <w:rPr>
          <w:color w:val="6B6B6B"/>
          <w:sz w:val="16"/>
          <w:szCs w:val="16"/>
        </w:rPr>
        <w:t xml:space="preserve">   (~35s)</w:t>
      </w:r>
    </w:p>
    <w:p>
      <w:pPr>
        <w:spacing w:after="40"/>
        <w:ind w:left="120"/>
      </w:pPr>
      <w:r>
        <w:rPr>
          <w:color w:val="2E2E2E"/>
          <w:sz w:val="20"/>
          <w:szCs w:val="20"/>
        </w:rPr>
        <w:t xml:space="preserve">“On money: two lines. A one-time setup that funds the build, and a monthly managed-service fee — that’s the recurring base. Priced by complexity, not one flat number. It’s bootstrap-first: the model pays for itself, so we don’t need outside money to survive. And when a client asks ‘is it worth it?’, we put their own numbers on the table — the cost of doing nothing versus our fee — and it usually pays back in a couple of months.”</w:t>
      </w:r>
    </w:p>
    <w:p>
      <w:pPr>
        <w:keepNext/>
        <w:spacing w:after="20" w:before="140"/>
      </w:pPr>
      <w:r>
        <w:rPr>
          <w:b/>
          <w:bCs/>
          <w:color w:val="B0143C"/>
          <w:sz w:val="20"/>
          <w:szCs w:val="20"/>
        </w:rPr>
        <w:t xml:space="preserve">Slide 8 — Team</w:t>
      </w:r>
      <w:r>
        <w:rPr>
          <w:color w:val="6B6B6B"/>
          <w:sz w:val="16"/>
          <w:szCs w:val="16"/>
        </w:rPr>
        <w:t xml:space="preserve">   (~20s)</w:t>
      </w:r>
    </w:p>
    <w:p>
      <w:pPr>
        <w:spacing w:after="40"/>
        <w:ind w:left="120"/>
      </w:pPr>
      <w:r>
        <w:rPr>
          <w:color w:val="2E2E2E"/>
          <w:sz w:val="20"/>
          <w:szCs w:val="20"/>
        </w:rPr>
        <w:t xml:space="preserve">“Right now it’s me — twenty years in industrial operations, across process engineering, project management, design and sales, including a year leading both offices. I add people only as the revenue pays for them, starting with a delivery engineer. Legal and accounting we buy in.”</w:t>
      </w:r>
    </w:p>
    <w:p>
      <w:pPr>
        <w:keepNext/>
        <w:spacing w:after="20" w:before="140"/>
      </w:pPr>
      <w:r>
        <w:rPr>
          <w:b/>
          <w:bCs/>
          <w:color w:val="B0143C"/>
          <w:sz w:val="20"/>
          <w:szCs w:val="20"/>
        </w:rPr>
        <w:t xml:space="preserve">Slide 9 — Board &amp; Advisors</w:t>
      </w:r>
      <w:r>
        <w:rPr>
          <w:color w:val="6B6B6B"/>
          <w:sz w:val="16"/>
          <w:szCs w:val="16"/>
        </w:rPr>
        <w:t xml:space="preserve">   (~15s)</w:t>
      </w:r>
    </w:p>
    <w:p>
      <w:pPr>
        <w:spacing w:after="40"/>
        <w:ind w:left="120"/>
      </w:pPr>
      <w:r>
        <w:rPr>
          <w:color w:val="2E2E2E"/>
          <w:sz w:val="20"/>
          <w:szCs w:val="20"/>
        </w:rPr>
        <w:t xml:space="preserve">“No formal board yet — that comes with funding. For now, a small advisory circle: an industry operator, a technical advisor, a go-to-market advisor, and legal and IP.”</w:t>
      </w:r>
    </w:p>
    <w:p>
      <w:pPr>
        <w:keepNext/>
        <w:spacing w:after="20" w:before="140"/>
      </w:pPr>
      <w:r>
        <w:rPr>
          <w:b/>
          <w:bCs/>
          <w:color w:val="B0143C"/>
          <w:sz w:val="20"/>
          <w:szCs w:val="20"/>
        </w:rPr>
        <w:t xml:space="preserve">Close — what’s already in motion + the ask</w:t>
      </w:r>
      <w:r>
        <w:rPr>
          <w:color w:val="6B6B6B"/>
          <w:sz w:val="16"/>
          <w:szCs w:val="16"/>
        </w:rPr>
        <w:t xml:space="preserve">   (~20s)</w:t>
      </w:r>
    </w:p>
    <w:p>
      <w:pPr>
        <w:spacing w:after="40"/>
        <w:ind w:left="120"/>
      </w:pPr>
      <w:r>
        <w:rPr>
          <w:color w:val="2E2E2E"/>
          <w:sz w:val="20"/>
          <w:szCs w:val="20"/>
        </w:rPr>
        <w:t xml:space="preserve">“And this isn’t just a plan. We already have a live pilot running with a Swiss SME, automating their email handling — our first reference case. So if you know a small company drowning in repetitive admin, that’s exactly who we help. Thank you.”</w:t>
      </w:r>
    </w:p>
    <w:p>
      <w:pPr>
        <w:pBdr>
          <w:left w:val="single" w:color="B0143C" w:sz="18" w:space="8"/>
        </w:pBdr>
        <w:shd w:fill="F2F2F2" w:val="clear"/>
        <w:spacing w:after="120" w:before="120"/>
      </w:pPr>
      <w:r>
        <w:rPr>
          <w:b/>
          <w:bCs/>
          <w:color w:val="B0143C"/>
          <w:sz w:val="19"/>
          <w:szCs w:val="19"/>
        </w:rPr>
        <w:t xml:space="preserve">Two delivery reminders: </w:t>
      </w:r>
      <w:r>
        <w:rPr>
          <w:color w:val="2E2E2E"/>
          <w:sz w:val="19"/>
          <w:szCs w:val="19"/>
        </w:rPr>
        <w:t xml:space="preserve">(1) if they ask for ROI, use the spoken example above — say it, don’t screen-share. (2) The room has other founders in it: be clear and honest, keep the pricing mechanics high-level, save the calculator for private meetings.</w:t>
      </w:r>
    </w:p>
    <w:p>
      <w:pPr>
        <w:spacing w:before="16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2026-08-22T19:03:19.278Z</dcterms:created>
  <dcterms:modified xsi:type="dcterms:W3CDTF">2026-08-22T19:03:19.291Z</dcterms:modified>
</cp:coreProperties>
</file>

<file path=docProps/custom.xml><?xml version="1.0" encoding="utf-8"?>
<Properties xmlns="http://schemas.openxmlformats.org/officeDocument/2006/custom-properties" xmlns:vt="http://schemas.openxmlformats.org/officeDocument/2006/docPropsVTypes"/>
</file>