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278AC005" w:rsidR="0020155A" w:rsidRDefault="004907FE"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How Founders Can Overcome the Early-Stage Fundraising Slump</w:t>
      </w:r>
      <w:r>
        <w:rPr>
          <w:rStyle w:val="eop"/>
          <w:rFonts w:ascii="Calibri Light" w:hAnsi="Calibri Light" w:cs="Calibri Light"/>
          <w:sz w:val="40"/>
          <w:szCs w:val="40"/>
          <w:shd w:val="clear" w:color="auto" w:fill="FFFFFF"/>
        </w:rPr>
        <w:t> </w:t>
      </w:r>
    </w:p>
    <w:p w14:paraId="1CCC19F0" w14:textId="77777777" w:rsidR="004907FE" w:rsidRDefault="004907FE" w:rsidP="001B15C0">
      <w:pPr>
        <w:spacing w:before="60"/>
        <w:rPr>
          <w:rStyle w:val="eop"/>
          <w:rFonts w:ascii="Calibri Light" w:hAnsi="Calibri Light" w:cs="Calibri Light"/>
          <w:sz w:val="40"/>
          <w:szCs w:val="40"/>
          <w:shd w:val="clear" w:color="auto" w:fill="FFFFFF"/>
        </w:rPr>
      </w:pPr>
    </w:p>
    <w:p w14:paraId="23F16D13"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40"/>
          <w:szCs w:val="40"/>
          <w:lang w:val="de-CH"/>
        </w:rPr>
        <w:t>How Founders Can Overcome the Early-Stage Fundraising Slump</w:t>
      </w:r>
      <w:r>
        <w:rPr>
          <w:rStyle w:val="eop"/>
          <w:rFonts w:ascii="Calibri" w:hAnsi="Calibri" w:cs="Calibri"/>
          <w:sz w:val="40"/>
          <w:szCs w:val="40"/>
          <w:lang w:val="de-CH"/>
        </w:rPr>
        <w:t> </w:t>
      </w:r>
    </w:p>
    <w:p w14:paraId="7FF22F6A"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hyperlink r:id="rId5" w:tgtFrame="_blank" w:history="1">
        <w:r>
          <w:rPr>
            <w:rStyle w:val="normaltextrun"/>
            <w:rFonts w:ascii="Calibri" w:hAnsi="Calibri" w:cs="Calibri"/>
            <w:color w:val="467886"/>
            <w:sz w:val="22"/>
            <w:szCs w:val="22"/>
            <w:lang w:val="de-CH"/>
          </w:rPr>
          <w:t>In my last post</w:t>
        </w:r>
      </w:hyperlink>
      <w:r>
        <w:rPr>
          <w:rStyle w:val="normaltextrun"/>
          <w:rFonts w:ascii="Calibri" w:hAnsi="Calibri" w:cs="Calibri"/>
          <w:sz w:val="22"/>
          <w:szCs w:val="22"/>
          <w:lang w:val="de-CH"/>
        </w:rPr>
        <w:t>, I outlined some of the high-level traction goalposts that companies should think about when raising large seeds and strong Series A rounds. If you haven’t read that post, here are the milestones I laid out:</w:t>
      </w:r>
      <w:r>
        <w:rPr>
          <w:rStyle w:val="eop"/>
          <w:rFonts w:ascii="Calibri" w:hAnsi="Calibri" w:cs="Calibri"/>
          <w:sz w:val="22"/>
          <w:szCs w:val="22"/>
          <w:lang w:val="de-CH"/>
        </w:rPr>
        <w:t> </w:t>
      </w:r>
    </w:p>
    <w:p w14:paraId="0911FA96"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eop"/>
          <w:rFonts w:ascii="Calibri" w:hAnsi="Calibri" w:cs="Calibri"/>
          <w:sz w:val="22"/>
          <w:szCs w:val="22"/>
          <w:lang w:val="de-CH"/>
        </w:rPr>
        <w:t> </w:t>
      </w:r>
    </w:p>
    <w:p w14:paraId="11C6F063"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Since then, TechCrunch </w:t>
      </w:r>
      <w:hyperlink r:id="rId6" w:tgtFrame="_blank" w:history="1">
        <w:r>
          <w:rPr>
            <w:rStyle w:val="normaltextrun"/>
            <w:rFonts w:ascii="Calibri" w:hAnsi="Calibri" w:cs="Calibri"/>
            <w:color w:val="467886"/>
            <w:sz w:val="22"/>
            <w:szCs w:val="22"/>
            <w:lang w:val="de-CH"/>
          </w:rPr>
          <w:t>published an article about the “implosion” in early-stage investment activity</w:t>
        </w:r>
      </w:hyperlink>
      <w:r>
        <w:rPr>
          <w:rStyle w:val="normaltextrun"/>
          <w:rFonts w:ascii="Calibri" w:hAnsi="Calibri" w:cs="Calibri"/>
          <w:sz w:val="22"/>
          <w:szCs w:val="22"/>
          <w:lang w:val="de-CH"/>
        </w:rPr>
        <w:t>. Fred Wilson followed up with an excellent post with his thoughts on the </w:t>
      </w:r>
      <w:hyperlink r:id="rId7" w:tgtFrame="_blank" w:history="1">
        <w:r>
          <w:rPr>
            <w:rStyle w:val="normaltextrun"/>
            <w:rFonts w:ascii="Calibri" w:hAnsi="Calibri" w:cs="Calibri"/>
            <w:color w:val="467886"/>
            <w:sz w:val="22"/>
            <w:szCs w:val="22"/>
            <w:lang w:val="de-CH"/>
          </w:rPr>
          <w:t>“Early Stage Slump.”</w:t>
        </w:r>
      </w:hyperlink>
      <w:r>
        <w:rPr>
          <w:rStyle w:val="eop"/>
          <w:rFonts w:ascii="Calibri" w:hAnsi="Calibri" w:cs="Calibri"/>
          <w:sz w:val="22"/>
          <w:szCs w:val="22"/>
          <w:lang w:val="de-CH"/>
        </w:rPr>
        <w:t> </w:t>
      </w:r>
    </w:p>
    <w:p w14:paraId="1800B9AB"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These trends are all related. Because Series A milestones have been so high in the past few years, earlier-stage investors are being more cautious, investing in fewer companies and trending towards more mature, larger seed rounds. In turn, that has made the traction bar for institutional seed surprisingly high.</w:t>
      </w:r>
      <w:r>
        <w:rPr>
          <w:rStyle w:val="eop"/>
          <w:rFonts w:ascii="Calibri" w:hAnsi="Calibri" w:cs="Calibri"/>
          <w:sz w:val="22"/>
          <w:szCs w:val="22"/>
          <w:lang w:val="de-CH"/>
        </w:rPr>
        <w:t> </w:t>
      </w:r>
    </w:p>
    <w:p w14:paraId="6EDF9555"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So as a seed-stage VC, what do I make of this early fundraising crunch? And what can founders do about this new environment?</w:t>
      </w:r>
      <w:r>
        <w:rPr>
          <w:rStyle w:val="eop"/>
          <w:rFonts w:ascii="Calibri" w:hAnsi="Calibri" w:cs="Calibri"/>
          <w:sz w:val="22"/>
          <w:szCs w:val="22"/>
          <w:lang w:val="de-CH"/>
        </w:rPr>
        <w:t> </w:t>
      </w:r>
    </w:p>
    <w:p w14:paraId="1270D146"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What the “Fundraising Slump” Means for Seed Investors</w:t>
      </w:r>
      <w:r>
        <w:rPr>
          <w:rStyle w:val="eop"/>
          <w:rFonts w:ascii="Calibri" w:hAnsi="Calibri" w:cs="Calibri"/>
          <w:sz w:val="32"/>
          <w:szCs w:val="32"/>
          <w:lang w:val="de-CH"/>
        </w:rPr>
        <w:t> </w:t>
      </w:r>
    </w:p>
    <w:p w14:paraId="0D19136B"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As a seed investor, my approach is to take advantage of this opportunity by being less dogmatic about what constitutes a “proper seed round.”</w:t>
      </w:r>
      <w:r>
        <w:rPr>
          <w:rStyle w:val="eop"/>
          <w:rFonts w:ascii="Calibri" w:hAnsi="Calibri" w:cs="Calibri"/>
          <w:sz w:val="22"/>
          <w:szCs w:val="22"/>
          <w:lang w:val="de-CH"/>
        </w:rPr>
        <w:t> </w:t>
      </w:r>
    </w:p>
    <w:p w14:paraId="160AB110"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True early capital is harder to come by these days, so being a strong, active pre-seed investor can add a lot of value to founders who don’t have a product in the market.</w:t>
      </w:r>
      <w:r>
        <w:rPr>
          <w:rStyle w:val="eop"/>
          <w:rFonts w:ascii="Calibri" w:hAnsi="Calibri" w:cs="Calibri"/>
          <w:sz w:val="22"/>
          <w:szCs w:val="22"/>
          <w:lang w:val="de-CH"/>
        </w:rPr>
        <w:t> </w:t>
      </w:r>
    </w:p>
    <w:p w14:paraId="33376757"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Likewise, investors who are independently minded and have the guts to invest in “sub-scale” companies can find some really interesting, under-appreciated opportunities.</w:t>
      </w:r>
      <w:r>
        <w:rPr>
          <w:rStyle w:val="eop"/>
          <w:rFonts w:ascii="Calibri" w:hAnsi="Calibri" w:cs="Calibri"/>
          <w:sz w:val="22"/>
          <w:szCs w:val="22"/>
          <w:lang w:val="de-CH"/>
        </w:rPr>
        <w:t> </w:t>
      </w:r>
    </w:p>
    <w:p w14:paraId="6F8434BE"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This is the approach we’re taking at NextView. We aren’t going to be dogmatic about investing across the early-stage spectrum. Of our last five investments, two have been “proper” seed rounds, two have been “pre-seeds,” and one is clearly in the “post-seed” category. Our pipeline is similarly fairly diverse, and I’m glad to have a fund size and strategy that can take advantage of these mini market gaps.</w:t>
      </w:r>
      <w:r>
        <w:rPr>
          <w:rStyle w:val="eop"/>
          <w:rFonts w:ascii="Calibri" w:hAnsi="Calibri" w:cs="Calibri"/>
          <w:sz w:val="22"/>
          <w:szCs w:val="22"/>
          <w:lang w:val="de-CH"/>
        </w:rPr>
        <w:t> </w:t>
      </w:r>
    </w:p>
    <w:p w14:paraId="3DE84972"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How Founders Can Raise Capital During a “Fundraising Slump”</w:t>
      </w:r>
      <w:r>
        <w:rPr>
          <w:rStyle w:val="eop"/>
          <w:rFonts w:ascii="Calibri" w:hAnsi="Calibri" w:cs="Calibri"/>
          <w:sz w:val="32"/>
          <w:szCs w:val="32"/>
          <w:lang w:val="de-CH"/>
        </w:rPr>
        <w:t> </w:t>
      </w:r>
    </w:p>
    <w:p w14:paraId="13566DF6"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For founders, raising your early rounds of capital is going to be a tall order. The bar for Series As isn’t getting lower anytime soon, but I have seen a number of companies that have been able to raise these rounds even if their metrics fell a bit short of the milestones above. Usually, at least one of a number of conditions have tended to be in place.</w:t>
      </w:r>
      <w:r>
        <w:rPr>
          <w:rStyle w:val="eop"/>
          <w:rFonts w:ascii="Calibri" w:hAnsi="Calibri" w:cs="Calibri"/>
          <w:sz w:val="22"/>
          <w:szCs w:val="22"/>
          <w:lang w:val="de-CH"/>
        </w:rPr>
        <w:t> </w:t>
      </w:r>
    </w:p>
    <w:p w14:paraId="75C53E25"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lang w:val="de-CH"/>
        </w:rPr>
        <w:t>The founders have an “always fundraising” mindset.</w:t>
      </w:r>
      <w:r>
        <w:rPr>
          <w:rStyle w:val="eop"/>
          <w:rFonts w:ascii="Calibri" w:hAnsi="Calibri" w:cs="Calibri"/>
          <w:lang w:val="de-CH"/>
        </w:rPr>
        <w:t> </w:t>
      </w:r>
    </w:p>
    <w:p w14:paraId="2AEE1218"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Some founders see fundraising as a chore. But some others embrace the fact that until they are generating cash, fundraising will be an increasingly important part of their job. With the latter mindset, founders can develop a skill around maintaining a dialogue with many potential investors and corralling that energy into a funding round earlier than typical milestones would suggest.</w:t>
      </w:r>
      <w:r>
        <w:rPr>
          <w:rStyle w:val="eop"/>
          <w:rFonts w:ascii="Calibri" w:hAnsi="Calibri" w:cs="Calibri"/>
          <w:sz w:val="22"/>
          <w:szCs w:val="22"/>
          <w:lang w:val="de-CH"/>
        </w:rPr>
        <w:t> </w:t>
      </w:r>
    </w:p>
    <w:p w14:paraId="0A38F7EA"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It’s a delicate balance to do this without seeming like you are endlessly shopping your company. It’s also important not to spend too much time with any investor or misread positive signals and engage in a process prematurely.</w:t>
      </w:r>
      <w:r>
        <w:rPr>
          <w:rStyle w:val="eop"/>
          <w:rFonts w:ascii="Calibri" w:hAnsi="Calibri" w:cs="Calibri"/>
          <w:sz w:val="22"/>
          <w:szCs w:val="22"/>
          <w:lang w:val="de-CH"/>
        </w:rPr>
        <w:t> </w:t>
      </w:r>
    </w:p>
    <w:p w14:paraId="468B93A4"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But this approach </w:t>
      </w:r>
      <w:r>
        <w:rPr>
          <w:rStyle w:val="normaltextrun"/>
          <w:rFonts w:ascii="Calibri" w:hAnsi="Calibri" w:cs="Calibri"/>
          <w:i/>
          <w:iCs/>
          <w:sz w:val="22"/>
          <w:szCs w:val="22"/>
          <w:lang w:val="de-CH"/>
        </w:rPr>
        <w:t>can</w:t>
      </w:r>
      <w:r>
        <w:rPr>
          <w:rStyle w:val="normaltextrun"/>
          <w:rFonts w:ascii="Calibri" w:hAnsi="Calibri" w:cs="Calibri"/>
          <w:sz w:val="22"/>
          <w:szCs w:val="22"/>
          <w:lang w:val="de-CH"/>
        </w:rPr>
        <w:t> work and I know founders who have done this quite successfully.</w:t>
      </w:r>
      <w:r>
        <w:rPr>
          <w:rStyle w:val="eop"/>
          <w:rFonts w:ascii="Calibri" w:hAnsi="Calibri" w:cs="Calibri"/>
          <w:sz w:val="22"/>
          <w:szCs w:val="22"/>
          <w:lang w:val="de-CH"/>
        </w:rPr>
        <w:t> </w:t>
      </w:r>
    </w:p>
    <w:p w14:paraId="73ABC6ED"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 xml:space="preserve">This approach tends to be more successful for B2B founders because the same evangelism they use to bring beta customers on board helps convince VCs to invest. They are also more likely to </w:t>
      </w:r>
      <w:r>
        <w:rPr>
          <w:rStyle w:val="normaltextrun"/>
          <w:rFonts w:ascii="Calibri" w:hAnsi="Calibri" w:cs="Calibri"/>
          <w:sz w:val="22"/>
          <w:szCs w:val="22"/>
          <w:lang w:val="de-CH"/>
        </w:rPr>
        <w:lastRenderedPageBreak/>
        <w:t>encounter interested investors in their normal course of business, through events and conferences, online discussions, or through the VC’s existing portfolio companies.</w:t>
      </w:r>
      <w:r>
        <w:rPr>
          <w:rStyle w:val="eop"/>
          <w:rFonts w:ascii="Calibri" w:hAnsi="Calibri" w:cs="Calibri"/>
          <w:sz w:val="22"/>
          <w:szCs w:val="22"/>
          <w:lang w:val="de-CH"/>
        </w:rPr>
        <w:t> </w:t>
      </w:r>
    </w:p>
    <w:p w14:paraId="1FFB75D3"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lang w:val="de-CH"/>
        </w:rPr>
        <w:t>The company is connected to a mega-trend creating a frenzy in the market.</w:t>
      </w:r>
      <w:r>
        <w:rPr>
          <w:rStyle w:val="eop"/>
          <w:rFonts w:ascii="Calibri" w:hAnsi="Calibri" w:cs="Calibri"/>
          <w:lang w:val="de-CH"/>
        </w:rPr>
        <w:t> </w:t>
      </w:r>
    </w:p>
    <w:p w14:paraId="0CE3DF92"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When an area is trendy, it’s more likely to find investors with some level of interest in the opportunity, which creates more competition and more willingness to fund companies at an earlier stage.</w:t>
      </w:r>
      <w:r>
        <w:rPr>
          <w:rStyle w:val="eop"/>
          <w:rFonts w:ascii="Calibri" w:hAnsi="Calibri" w:cs="Calibri"/>
          <w:sz w:val="22"/>
          <w:szCs w:val="22"/>
          <w:lang w:val="de-CH"/>
        </w:rPr>
        <w:t> </w:t>
      </w:r>
    </w:p>
    <w:p w14:paraId="1D049532"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This is a double-edged sword though because there will also likely be many more “me-too” companies out there trying to capitalize on the hype. These frenzies also tend to be cyclical, so it’s likely that the enthusiasm in your sector is likely to die down at some point in the future.</w:t>
      </w:r>
      <w:r>
        <w:rPr>
          <w:rStyle w:val="eop"/>
          <w:rFonts w:ascii="Calibri" w:hAnsi="Calibri" w:cs="Calibri"/>
          <w:sz w:val="22"/>
          <w:szCs w:val="22"/>
          <w:lang w:val="de-CH"/>
        </w:rPr>
        <w:t> </w:t>
      </w:r>
    </w:p>
    <w:p w14:paraId="53DC58A2"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In either case, you definitely shouldn’t start a company in a sector just because it’s hot. But you </w:t>
      </w:r>
      <w:r>
        <w:rPr>
          <w:rStyle w:val="normaltextrun"/>
          <w:rFonts w:ascii="Calibri" w:hAnsi="Calibri" w:cs="Calibri"/>
          <w:i/>
          <w:iCs/>
          <w:sz w:val="22"/>
          <w:szCs w:val="22"/>
          <w:lang w:val="de-CH"/>
        </w:rPr>
        <w:t>may</w:t>
      </w:r>
      <w:r>
        <w:rPr>
          <w:rStyle w:val="normaltextrun"/>
          <w:rFonts w:ascii="Calibri" w:hAnsi="Calibri" w:cs="Calibri"/>
          <w:sz w:val="22"/>
          <w:szCs w:val="22"/>
          <w:lang w:val="de-CH"/>
        </w:rPr>
        <w:t> adjust your fundraising timing somewhat if you sense that some serious tailwinds are brewing and you are in a relatively good position — even if your absolute level of traction is modest.</w:t>
      </w:r>
      <w:r>
        <w:rPr>
          <w:rStyle w:val="eop"/>
          <w:rFonts w:ascii="Calibri" w:hAnsi="Calibri" w:cs="Calibri"/>
          <w:sz w:val="22"/>
          <w:szCs w:val="22"/>
          <w:lang w:val="de-CH"/>
        </w:rPr>
        <w:t> </w:t>
      </w:r>
    </w:p>
    <w:p w14:paraId="474124E7"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 risk is that you may successfully raise capital, but actually not have strong enough PMF, so be cautious about spending that capital unnaturally quickly.</w:t>
      </w:r>
      <w:r>
        <w:rPr>
          <w:rStyle w:val="eop"/>
          <w:rFonts w:ascii="Calibri" w:hAnsi="Calibri" w:cs="Calibri"/>
          <w:sz w:val="22"/>
          <w:szCs w:val="22"/>
          <w:lang w:val="de-CH"/>
        </w:rPr>
        <w:t> </w:t>
      </w:r>
    </w:p>
    <w:p w14:paraId="29319AE5"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lang w:val="de-CH"/>
        </w:rPr>
        <w:t>Founders brute force revenue growth with limited or very rudimentary software.</w:t>
      </w:r>
      <w:r>
        <w:rPr>
          <w:rStyle w:val="eop"/>
          <w:rFonts w:ascii="Calibri" w:hAnsi="Calibri" w:cs="Calibri"/>
          <w:lang w:val="de-CH"/>
        </w:rPr>
        <w:t> </w:t>
      </w:r>
    </w:p>
    <w:p w14:paraId="6F100906"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Often, founders end up having to make an early trade-off between investing time and effort at building great software versus getting to market more quickly with a hacky product or a hybrid software/services model.</w:t>
      </w:r>
      <w:r>
        <w:rPr>
          <w:rStyle w:val="eop"/>
          <w:rFonts w:ascii="Calibri" w:hAnsi="Calibri" w:cs="Calibri"/>
          <w:sz w:val="22"/>
          <w:szCs w:val="22"/>
          <w:lang w:val="de-CH"/>
        </w:rPr>
        <w:t> </w:t>
      </w:r>
    </w:p>
    <w:p w14:paraId="5537101B"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On average, proving commercial demand for your product or service trumps the quality of the software in the early stages of a company.</w:t>
      </w:r>
      <w:r>
        <w:rPr>
          <w:rStyle w:val="eop"/>
          <w:rFonts w:ascii="Calibri" w:hAnsi="Calibri" w:cs="Calibri"/>
          <w:sz w:val="22"/>
          <w:szCs w:val="22"/>
          <w:lang w:val="de-CH"/>
        </w:rPr>
        <w:t> </w:t>
      </w:r>
    </w:p>
    <w:p w14:paraId="3C71CF6C"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I’ve seen companies raise seeds or Series As for businesses that are basically run with humans, cheap generic tools, and spreadsheets. This does not mean that investing in great software isn’t critical, but I find that overall, the seed and Series A market rewards demonstrable traction much more than having the most polished, elegant product. As I’ve </w:t>
      </w:r>
      <w:hyperlink r:id="rId8" w:tgtFrame="_blank" w:history="1">
        <w:r>
          <w:rPr>
            <w:rStyle w:val="normaltextrun"/>
            <w:rFonts w:ascii="Calibri" w:hAnsi="Calibri" w:cs="Calibri"/>
            <w:color w:val="467886"/>
            <w:sz w:val="22"/>
            <w:szCs w:val="22"/>
            <w:lang w:val="de-CH"/>
          </w:rPr>
          <w:t>written before</w:t>
        </w:r>
      </w:hyperlink>
      <w:r>
        <w:rPr>
          <w:rStyle w:val="normaltextrun"/>
          <w:rFonts w:ascii="Calibri" w:hAnsi="Calibri" w:cs="Calibri"/>
          <w:sz w:val="22"/>
          <w:szCs w:val="22"/>
          <w:lang w:val="de-CH"/>
        </w:rPr>
        <w:t>, most founders tend to underestimate how much customers are willing to tolerate an imperfect or incomplete product if there is true product-market fit.</w:t>
      </w:r>
      <w:r>
        <w:rPr>
          <w:rStyle w:val="eop"/>
          <w:rFonts w:ascii="Calibri" w:hAnsi="Calibri" w:cs="Calibri"/>
          <w:sz w:val="22"/>
          <w:szCs w:val="22"/>
          <w:lang w:val="de-CH"/>
        </w:rPr>
        <w:t> </w:t>
      </w:r>
    </w:p>
    <w:p w14:paraId="752F467C"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lang w:val="de-CH"/>
        </w:rPr>
        <w:t>There is a larger, multi-stage VC already in the seed round.</w:t>
      </w:r>
      <w:r>
        <w:rPr>
          <w:rStyle w:val="eop"/>
          <w:rFonts w:ascii="Calibri" w:hAnsi="Calibri" w:cs="Calibri"/>
          <w:lang w:val="de-CH"/>
        </w:rPr>
        <w:t> </w:t>
      </w:r>
    </w:p>
    <w:p w14:paraId="31B00499"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This is particularly true with B2B software or deep tech. If the larger investor is engaged and can build an appreciation for the team and their progress, it’s more likely they will have the confidence to pre-empt a round or lead a Series A if metrics are moving in the right direction.</w:t>
      </w:r>
      <w:r>
        <w:rPr>
          <w:rStyle w:val="eop"/>
          <w:rFonts w:ascii="Calibri" w:hAnsi="Calibri" w:cs="Calibri"/>
          <w:sz w:val="22"/>
          <w:szCs w:val="22"/>
          <w:lang w:val="de-CH"/>
        </w:rPr>
        <w:t> </w:t>
      </w:r>
    </w:p>
    <w:p w14:paraId="48AD3DAB"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As an engaged insider, they have more information about the actual quality and speed of the team, and the momentum of the wins can feel more substantial. Signaling risks are still very real if they don’t invest, but they may be worth it in the right situations.</w:t>
      </w:r>
      <w:r>
        <w:rPr>
          <w:rStyle w:val="eop"/>
          <w:rFonts w:ascii="Calibri" w:hAnsi="Calibri" w:cs="Calibri"/>
          <w:sz w:val="22"/>
          <w:szCs w:val="22"/>
          <w:lang w:val="de-CH"/>
        </w:rPr>
        <w:t> </w:t>
      </w:r>
    </w:p>
    <w:p w14:paraId="3923AC07"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This is why we’ve enjoyed co-investing with some larger funds that write meaningful checks in the seed and are often nearly as engaged with their seed-stage companies as their later stage investments.</w:t>
      </w:r>
      <w:r>
        <w:rPr>
          <w:rStyle w:val="eop"/>
          <w:rFonts w:ascii="Calibri" w:hAnsi="Calibri" w:cs="Calibri"/>
          <w:sz w:val="22"/>
          <w:szCs w:val="22"/>
          <w:lang w:val="de-CH"/>
        </w:rPr>
        <w:t> </w:t>
      </w:r>
    </w:p>
    <w:p w14:paraId="288B5964"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2"/>
          <w:szCs w:val="32"/>
          <w:lang w:val="de-CH"/>
        </w:rPr>
        <w:t>Investor-Opportunity Fit Is More Important Than Metrics</w:t>
      </w:r>
      <w:r>
        <w:rPr>
          <w:rStyle w:val="eop"/>
          <w:rFonts w:ascii="Calibri" w:hAnsi="Calibri" w:cs="Calibri"/>
          <w:sz w:val="32"/>
          <w:szCs w:val="32"/>
          <w:lang w:val="de-CH"/>
        </w:rPr>
        <w:t> </w:t>
      </w:r>
    </w:p>
    <w:p w14:paraId="04F12ACC"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My closing advice to founders is to remember that early-stage fundraising almost always comes down to investor/opportunity fit more than simply blowing the market away with your metrics.</w:t>
      </w:r>
      <w:r>
        <w:rPr>
          <w:rStyle w:val="eop"/>
          <w:rFonts w:ascii="Calibri" w:hAnsi="Calibri" w:cs="Calibri"/>
          <w:sz w:val="22"/>
          <w:szCs w:val="22"/>
          <w:lang w:val="de-CH"/>
        </w:rPr>
        <w:t> </w:t>
      </w:r>
    </w:p>
    <w:p w14:paraId="330382F1"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No matter how good your numbers are, the wrong investors can always want more and will discount what you have already done. But the right investor will give you some forward credit for what you have yet to do because they are primed to believe. This might happen because:</w:t>
      </w:r>
      <w:r>
        <w:rPr>
          <w:rStyle w:val="eop"/>
          <w:rFonts w:ascii="Calibri" w:hAnsi="Calibri" w:cs="Calibri"/>
          <w:sz w:val="22"/>
          <w:szCs w:val="22"/>
          <w:lang w:val="de-CH"/>
        </w:rPr>
        <w:t> </w:t>
      </w:r>
    </w:p>
    <w:p w14:paraId="28C31F2F" w14:textId="77777777" w:rsidR="004907FE" w:rsidRDefault="004907FE" w:rsidP="004907FE">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The investor knows the founding team or can easily get superlative data points from people that they trust</w:t>
      </w:r>
      <w:r>
        <w:rPr>
          <w:rStyle w:val="eop"/>
          <w:rFonts w:ascii="Calibri" w:hAnsi="Calibri" w:cs="Calibri"/>
          <w:sz w:val="22"/>
          <w:szCs w:val="22"/>
          <w:lang w:val="de-CH"/>
        </w:rPr>
        <w:t> </w:t>
      </w:r>
    </w:p>
    <w:p w14:paraId="60901A6D" w14:textId="77777777" w:rsidR="004907FE" w:rsidRDefault="004907FE" w:rsidP="004907FE">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The investor is comfortable with the stage of the business and the nature of the early risks of the business</w:t>
      </w:r>
      <w:r>
        <w:rPr>
          <w:rStyle w:val="eop"/>
          <w:rFonts w:ascii="Calibri" w:hAnsi="Calibri" w:cs="Calibri"/>
          <w:sz w:val="22"/>
          <w:szCs w:val="22"/>
          <w:lang w:val="de-CH"/>
        </w:rPr>
        <w:t> </w:t>
      </w:r>
    </w:p>
    <w:p w14:paraId="1352A4F6" w14:textId="77777777" w:rsidR="004907FE" w:rsidRDefault="004907FE" w:rsidP="004907FE">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There are few additional friction points for the investor to overcome that don’t have as much to do with the business itself. Stuff like location, fit with the current portfolio, personal workload, fundraising, internal politics, etc.</w:t>
      </w:r>
      <w:r>
        <w:rPr>
          <w:rStyle w:val="eop"/>
          <w:rFonts w:ascii="Calibri" w:hAnsi="Calibri" w:cs="Calibri"/>
          <w:sz w:val="22"/>
          <w:szCs w:val="22"/>
          <w:lang w:val="de-CH"/>
        </w:rPr>
        <w:t> </w:t>
      </w:r>
    </w:p>
    <w:p w14:paraId="648F3147" w14:textId="77777777" w:rsidR="004907FE" w:rsidRDefault="004907FE" w:rsidP="004907FE">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lastRenderedPageBreak/>
        <w:t>The problem just resonates with the investor on a personal level. For whatever reason, they get it in their gut to have experienced a problem either directly or indirectly through another portfolio company.</w:t>
      </w:r>
      <w:r>
        <w:rPr>
          <w:rStyle w:val="eop"/>
          <w:rFonts w:ascii="Calibri" w:hAnsi="Calibri" w:cs="Calibri"/>
          <w:sz w:val="22"/>
          <w:szCs w:val="22"/>
          <w:lang w:val="de-CH"/>
        </w:rPr>
        <w:t> </w:t>
      </w:r>
    </w:p>
    <w:p w14:paraId="64626EAC"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Obviously, the weaker the investor/opportunity fit, the greater the traction required to raise any round. Realistically, for an early-stage company, it’s more likely that there are a small number of investors for whom the fit will be great. For everyone else, the traction required to win them over will be so high it’s not really worth spending time to try to win them over.</w:t>
      </w:r>
      <w:r>
        <w:rPr>
          <w:rStyle w:val="eop"/>
          <w:rFonts w:ascii="Calibri" w:hAnsi="Calibri" w:cs="Calibri"/>
          <w:sz w:val="22"/>
          <w:szCs w:val="22"/>
          <w:lang w:val="de-CH"/>
        </w:rPr>
        <w:t> </w:t>
      </w:r>
    </w:p>
    <w:p w14:paraId="2F3C9C52" w14:textId="77777777" w:rsidR="004907FE" w:rsidRDefault="004907FE" w:rsidP="004907FE">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This is why we say over and over again that fundraising is about finding true believers, not convincing skeptics —</w:t>
      </w:r>
      <w:r>
        <w:rPr>
          <w:rStyle w:val="normaltextrun"/>
          <w:rFonts w:ascii="Calibri" w:hAnsi="Calibri" w:cs="Calibri"/>
          <w:i/>
          <w:iCs/>
          <w:sz w:val="22"/>
          <w:szCs w:val="22"/>
          <w:lang w:val="de-CH"/>
        </w:rPr>
        <w:t>especially</w:t>
      </w:r>
      <w:r>
        <w:rPr>
          <w:rStyle w:val="normaltextrun"/>
          <w:rFonts w:ascii="Calibri" w:hAnsi="Calibri" w:cs="Calibri"/>
          <w:sz w:val="22"/>
          <w:szCs w:val="22"/>
          <w:lang w:val="de-CH"/>
        </w:rPr>
        <w:t> when early-stage fundraising is in a “slump.”</w:t>
      </w:r>
      <w:r>
        <w:rPr>
          <w:rStyle w:val="eop"/>
          <w:rFonts w:ascii="Calibri" w:hAnsi="Calibri" w:cs="Calibri"/>
          <w:sz w:val="22"/>
          <w:szCs w:val="22"/>
          <w:lang w:val="de-CH"/>
        </w:rPr>
        <w:t> </w:t>
      </w:r>
    </w:p>
    <w:p w14:paraId="4345B57A" w14:textId="77777777" w:rsidR="004907FE" w:rsidRDefault="004907FE" w:rsidP="004907FE">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644FF24B" w14:textId="77777777" w:rsidR="004907FE" w:rsidRDefault="004907FE" w:rsidP="004907FE">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9" w:tgtFrame="_blank" w:history="1">
        <w:r>
          <w:rPr>
            <w:rStyle w:val="normaltextrun"/>
            <w:rFonts w:ascii="Calibri" w:hAnsi="Calibri" w:cs="Calibri"/>
            <w:color w:val="467886"/>
            <w:sz w:val="18"/>
            <w:szCs w:val="18"/>
            <w:lang w:val="de-CH"/>
          </w:rPr>
          <w:t>https://bettereveryday.vc/how-founders-can-overcome-the-early-stage-fundraising-slump-5e8e92f52944</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2AC6E043" w14:textId="77777777" w:rsidR="004907FE" w:rsidRDefault="004907FE" w:rsidP="001B15C0">
      <w:pPr>
        <w:spacing w:before="60"/>
      </w:pPr>
    </w:p>
    <w:sectPr w:rsidR="004907F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1" w15:restartNumberingAfterBreak="0">
    <w:nsid w:val="73695580"/>
    <w:multiLevelType w:val="multilevel"/>
    <w:tmpl w:val="A230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0"/>
    <w:lvlOverride w:ilvl="0">
      <w:startOverride w:val="1"/>
    </w:lvlOverride>
  </w:num>
  <w:num w:numId="2" w16cid:durableId="97144185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4907FE"/>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4907FE"/>
  </w:style>
  <w:style w:type="character" w:customStyle="1" w:styleId="eop">
    <w:name w:val="eop"/>
    <w:basedOn w:val="DefaultParagraphFont"/>
    <w:rsid w:val="004907FE"/>
  </w:style>
  <w:style w:type="paragraph" w:customStyle="1" w:styleId="paragraph">
    <w:name w:val="paragraph"/>
    <w:basedOn w:val="Normal"/>
    <w:rsid w:val="004907FE"/>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robgo.org/2016/09/07/the-shape-of-traction/" TargetMode="External"/><Relationship Id="rId3" Type="http://schemas.openxmlformats.org/officeDocument/2006/relationships/settings" Target="settings.xml"/><Relationship Id="rId7" Type="http://schemas.openxmlformats.org/officeDocument/2006/relationships/hyperlink" Target="http://avc.com/2017/12/the-early-stage-slum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chcrunch.com/2017/11/30/theres-an-implosion-of-early-stage-vc-funding-and-no-ones-talking-about-it/" TargetMode="External"/><Relationship Id="rId11" Type="http://schemas.openxmlformats.org/officeDocument/2006/relationships/theme" Target="theme/theme1.xml"/><Relationship Id="rId5" Type="http://schemas.openxmlformats.org/officeDocument/2006/relationships/hyperlink" Target="https://bettereveryday.vc/how-much-traction-do-you-really-need-to-raise-a-seed-or-series-a-round-5fb0cf53220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ettereveryday.vc/how-founders-can-overcome-the-early-stage-fundraising-slump-5e8e92f529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1217</Words>
  <Characters>7427</Characters>
  <Application>Microsoft Office Word</Application>
  <DocSecurity>0</DocSecurity>
  <Lines>371</Lines>
  <Paragraphs>139</Paragraphs>
  <ScaleCrop>false</ScaleCrop>
  <Company/>
  <LinksUpToDate>false</LinksUpToDate>
  <CharactersWithSpaces>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2026-08-29T13:32:00Z</dcterms:modified>
</cp:coreProperties>
</file>