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i w:val="0"/>
          <w:color w:val="2E2E2E"/>
          <w:sz w:val="36"/>
        </w:rPr>
        <w:t>VortexDeep — IP &amp; Licensing Policy</w:t>
      </w:r>
    </w:p>
    <w:p>
      <w:r>
        <w:rPr>
          <w:rFonts w:ascii="Arial" w:hAnsi="Arial"/>
          <w:b w:val="0"/>
          <w:i/>
          <w:color w:val="808080"/>
          <w:sz w:val="19"/>
        </w:rPr>
        <w:t>How ownership, licensing and methodology work across our engagements. Internal source-of-truth: the calculator, the scope template and the pitch all point here.</w:t>
      </w:r>
    </w:p>
    <w:p>
      <w:r>
        <w:rPr>
          <w:rFonts w:ascii="Arial" w:hAnsi="Arial"/>
          <w:b w:val="0"/>
          <w:i w:val="0"/>
          <w:color w:val="808080"/>
          <w:sz w:val="18"/>
        </w:rPr>
        <w:t>v01  ·  internal document  ·  companion to “How We Work” and the Pricing Calculator (Access &amp; Licence Pricing sheet).</w:t>
      </w:r>
    </w:p>
    <w:p/>
    <w:p>
      <w:pPr>
        <w:spacing w:after="80"/>
      </w:pPr>
      <w:r>
        <w:rPr>
          <w:rFonts w:ascii="Arial" w:hAnsi="Arial"/>
          <w:b/>
          <w:i w:val="0"/>
          <w:color w:val="B0143C"/>
          <w:sz w:val="28"/>
        </w:rPr>
        <w:t>1.  The principle</w:t>
      </w:r>
    </w:p>
    <w:p>
      <w:pPr>
        <w:spacing w:after="120"/>
      </w:pPr>
      <w:r>
        <w:rPr>
          <w:rFonts w:ascii="Arial" w:hAnsi="Arial"/>
          <w:b w:val="0"/>
          <w:i w:val="0"/>
          <w:color w:val="2E2E2E"/>
          <w:sz w:val="21"/>
        </w:rPr>
        <w:t>We build automations for clients and keep them running. What the client receives is the working service and the right to use it. What we keep is how it is built — our methodology, our reusable patterns, and the judgment behind them. Our “How We Work” principle states it in one line: your data and our methodology stay separate.</w:t>
      </w:r>
    </w:p>
    <w:p>
      <w:pPr>
        <w:spacing w:after="120"/>
      </w:pPr>
      <w:r>
        <w:rPr>
          <w:rFonts w:ascii="Arial" w:hAnsi="Arial"/>
          <w:b w:val="0"/>
          <w:i w:val="0"/>
          <w:color w:val="2E2E2E"/>
          <w:sz w:val="21"/>
        </w:rPr>
        <w:t>Ownership is therefore offered as a licence, not a transfer. We do this to protect the business’s existence — how we work is our knowledge — but not only for that reason (see §6).</w:t>
      </w:r>
    </w:p>
    <w:p>
      <w:pPr>
        <w:spacing w:after="80"/>
      </w:pPr>
      <w:r>
        <w:rPr>
          <w:rFonts w:ascii="Arial" w:hAnsi="Arial"/>
          <w:b/>
          <w:i w:val="0"/>
          <w:color w:val="B0143C"/>
          <w:sz w:val="28"/>
        </w:rPr>
        <w:t>2.  What an automation is actually made of</w:t>
      </w:r>
    </w:p>
    <w:p>
      <w:pPr>
        <w:spacing w:after="120"/>
      </w:pPr>
      <w:r>
        <w:rPr>
          <w:rFonts w:ascii="Arial" w:hAnsi="Arial"/>
          <w:b w:val="0"/>
          <w:i w:val="0"/>
          <w:color w:val="2E2E2E"/>
          <w:sz w:val="21"/>
        </w:rPr>
        <w:t>“The automation” is not one thing. It is four layers, and every ownership question is really a question about which layers move to the client:</w:t>
      </w:r>
    </w:p>
    <w:p>
      <w:pPr>
        <w:spacing w:after="60"/>
        <w:ind w:left="216"/>
      </w:pPr>
      <w:r>
        <w:rPr>
          <w:rFonts w:ascii="Arial" w:hAnsi="Arial"/>
          <w:b/>
          <w:i w:val="0"/>
          <w:color w:val="2E2E2E"/>
          <w:sz w:val="21"/>
        </w:rPr>
        <w:t>•  1 · Outputs</w:t>
      </w:r>
      <w:r>
        <w:rPr>
          <w:rFonts w:ascii="Arial" w:hAnsi="Arial"/>
          <w:b w:val="0"/>
          <w:i w:val="0"/>
          <w:color w:val="2E2E2E"/>
          <w:sz w:val="21"/>
        </w:rPr>
        <w:t>— the results the client sees (sorted inbox, drafted replies, dashboards, reports). The client always gets these.</w:t>
      </w:r>
    </w:p>
    <w:p>
      <w:pPr>
        <w:spacing w:after="60"/>
        <w:ind w:left="216"/>
      </w:pPr>
      <w:r>
        <w:rPr>
          <w:rFonts w:ascii="Arial" w:hAnsi="Arial"/>
          <w:b/>
          <w:i w:val="0"/>
          <w:color w:val="2E2E2E"/>
          <w:sz w:val="21"/>
        </w:rPr>
        <w:t>•  2 · Right to use</w:t>
      </w:r>
      <w:r>
        <w:rPr>
          <w:rFonts w:ascii="Arial" w:hAnsi="Arial"/>
          <w:b w:val="0"/>
          <w:i w:val="0"/>
          <w:color w:val="2E2E2E"/>
          <w:sz w:val="21"/>
        </w:rPr>
        <w:t>— permission to have the automation run for their business.</w:t>
      </w:r>
    </w:p>
    <w:p>
      <w:pPr>
        <w:spacing w:after="60"/>
        <w:ind w:left="216"/>
      </w:pPr>
      <w:r>
        <w:rPr>
          <w:rFonts w:ascii="Arial" w:hAnsi="Arial"/>
          <w:b/>
          <w:i w:val="0"/>
          <w:color w:val="2E2E2E"/>
          <w:sz w:val="21"/>
        </w:rPr>
        <w:t>•  3 · Build artifact</w:t>
      </w:r>
      <w:r>
        <w:rPr>
          <w:rFonts w:ascii="Arial" w:hAnsi="Arial"/>
          <w:b w:val="0"/>
          <w:i w:val="0"/>
          <w:color w:val="2E2E2E"/>
          <w:sz w:val="21"/>
        </w:rPr>
        <w:t>— the actual Make/n8n scenario: the modules, connections, prompts and routing rules.</w:t>
      </w:r>
    </w:p>
    <w:p>
      <w:pPr>
        <w:spacing w:after="60"/>
        <w:ind w:left="216"/>
      </w:pPr>
      <w:r>
        <w:rPr>
          <w:rFonts w:ascii="Arial" w:hAnsi="Arial"/>
          <w:b/>
          <w:i w:val="0"/>
          <w:color w:val="2E2E2E"/>
          <w:sz w:val="21"/>
        </w:rPr>
        <w:t>•  4 · Methodology</w:t>
      </w:r>
      <w:r>
        <w:rPr>
          <w:rFonts w:ascii="Arial" w:hAnsi="Arial"/>
          <w:b w:val="0"/>
          <w:i w:val="0"/>
          <w:color w:val="2E2E2E"/>
          <w:sz w:val="21"/>
        </w:rPr>
        <w:t>— our discovery→scope→build process, the reusable pattern library, and the judgment about what to build and how. This is never included in any tier.</w:t>
      </w:r>
    </w:p>
    <w:p>
      <w:pPr>
        <w:spacing w:after="80"/>
      </w:pPr>
      <w:r>
        <w:rPr>
          <w:rFonts w:ascii="Arial" w:hAnsi="Arial"/>
          <w:b/>
          <w:i w:val="0"/>
          <w:color w:val="B0143C"/>
          <w:sz w:val="28"/>
        </w:rPr>
        <w:t>3.  Licence vs. ownership — the real difference</w:t>
      </w:r>
    </w:p>
    <w:p>
      <w:pPr>
        <w:spacing w:after="120"/>
      </w:pPr>
      <w:r>
        <w:rPr>
          <w:rFonts w:ascii="Arial" w:hAnsi="Arial"/>
          <w:b w:val="0"/>
          <w:i w:val="0"/>
          <w:color w:val="2E2E2E"/>
          <w:sz w:val="21"/>
        </w:rPr>
        <w:t>The difference between a licence and a transfer is not what the client physically holds. In both cases the automation may even run in the client’s own workspace. The difference is who owns it and what they are allowed to do with it.</w:t>
      </w:r>
    </w:p>
    <w:p>
      <w:pPr>
        <w:spacing w:before="160" w:after="40"/>
      </w:pPr>
      <w:r>
        <w:rPr>
          <w:rFonts w:ascii="Arial" w:hAnsi="Arial"/>
          <w:b/>
          <w:i w:val="0"/>
          <w:color w:val="2E2E2E"/>
          <w:sz w:val="23"/>
        </w:rPr>
        <w:t>Licence (we keep ownership)</w:t>
      </w:r>
    </w:p>
    <w:p>
      <w:pPr>
        <w:spacing w:after="120"/>
      </w:pPr>
      <w:r>
        <w:rPr>
          <w:rFonts w:ascii="Arial" w:hAnsi="Arial"/>
          <w:b w:val="0"/>
          <w:i w:val="0"/>
          <w:color w:val="2E2E2E"/>
          <w:sz w:val="21"/>
        </w:rPr>
        <w:t>The client holds a right to use layers 1 and 2. We keep ownership of layer 3 and never part with layer 4. The licence is bounded by terms: use for their own business only; no resale, no sublicensing, no transfer to a third party, no reverse-engineering into a competing service. It can be annual (recurring) or perpetual-but-restricted. It remains our property; the client rents the right to run it, and we can revoke on breach.</w:t>
      </w:r>
    </w:p>
    <w:p>
      <w:pPr>
        <w:spacing w:before="160" w:after="40"/>
      </w:pPr>
      <w:r>
        <w:rPr>
          <w:rFonts w:ascii="Arial" w:hAnsi="Arial"/>
          <w:b/>
          <w:i w:val="0"/>
          <w:color w:val="2E2E2E"/>
          <w:sz w:val="23"/>
        </w:rPr>
        <w:t>Transfer (ownership leaves us)</w:t>
      </w:r>
    </w:p>
    <w:p>
      <w:pPr>
        <w:spacing w:after="120"/>
      </w:pPr>
      <w:r>
        <w:rPr>
          <w:rFonts w:ascii="Arial" w:hAnsi="Arial"/>
          <w:b w:val="0"/>
          <w:i w:val="0"/>
          <w:color w:val="2E2E2E"/>
          <w:sz w:val="21"/>
        </w:rPr>
        <w:t>The client owns layer 3 outright. They can modify it, hand it to another vendor, or in principle pass it to a competitor. We keep only layer 4 (general know-how). Once the artifact is owned, we can no longer control what happens to it — which is why this is internal-information only, not something we offer as a path (see §5).</w:t>
      </w:r>
    </w:p>
    <w:p>
      <w:pPr>
        <w:spacing w:before="160" w:after="40"/>
      </w:pPr>
      <w:r>
        <w:rPr>
          <w:rFonts w:ascii="Arial" w:hAnsi="Arial"/>
          <w:b/>
          <w:i w:val="0"/>
          <w:color w:val="2E2E2E"/>
          <w:sz w:val="23"/>
        </w:rPr>
        <w:t>Two analogies that make it click</w:t>
      </w:r>
    </w:p>
    <w:p>
      <w:pPr>
        <w:spacing w:after="60"/>
        <w:ind w:left="216"/>
      </w:pPr>
      <w:r>
        <w:rPr>
          <w:rFonts w:ascii="Arial" w:hAnsi="Arial"/>
          <w:b/>
          <w:i w:val="0"/>
          <w:color w:val="2E2E2E"/>
          <w:sz w:val="21"/>
        </w:rPr>
        <w:t>•  Renting vs. selling a flat.</w:t>
      </w:r>
      <w:r>
        <w:rPr>
          <w:rFonts w:ascii="Arial" w:hAnsi="Arial"/>
          <w:b w:val="0"/>
          <w:i w:val="0"/>
          <w:color w:val="2E2E2E"/>
          <w:sz w:val="21"/>
        </w:rPr>
        <w:t xml:space="preserve">  In both, someone else lives there — but a tenant follows a lease, cannot sell your flat, and you remain the owner. A buyer can do anything, including sell it to your rival. Licence = lease; transfer = sale.</w:t>
      </w:r>
    </w:p>
    <w:p>
      <w:pPr>
        <w:spacing w:after="60"/>
        <w:ind w:left="216"/>
      </w:pPr>
      <w:r>
        <w:rPr>
          <w:rFonts w:ascii="Arial" w:hAnsi="Arial"/>
          <w:b/>
          <w:i w:val="0"/>
          <w:color w:val="2E2E2E"/>
          <w:sz w:val="21"/>
        </w:rPr>
        <w:t>•  Software licence vs. source code.</w:t>
      </w:r>
      <w:r>
        <w:rPr>
          <w:rFonts w:ascii="Arial" w:hAnsi="Arial"/>
          <w:b w:val="0"/>
          <w:i w:val="0"/>
          <w:color w:val="2E2E2E"/>
          <w:sz w:val="21"/>
        </w:rPr>
        <w:t xml:space="preserve">  Microsoft licences you Windows: it runs on your laptop, but you do not own it, cannot resell it, and cannot build a competing OS from it. A transfer would hand you the source. Same software in hand; entirely different rights.</w:t>
      </w:r>
    </w:p>
    <w:p>
      <w:pPr>
        <w:spacing w:after="80"/>
      </w:pPr>
      <w:r>
        <w:rPr>
          <w:rFonts w:ascii="Arial" w:hAnsi="Arial"/>
          <w:b/>
          <w:i w:val="0"/>
          <w:color w:val="B0143C"/>
          <w:sz w:val="28"/>
        </w:rPr>
        <w:t>4.  Protecting the “how” — why a visible build is still safe</w:t>
      </w:r>
    </w:p>
    <w:p>
      <w:pPr>
        <w:spacing w:after="120"/>
      </w:pPr>
      <w:r>
        <w:rPr>
          <w:rFonts w:ascii="Arial" w:hAnsi="Arial"/>
          <w:b w:val="0"/>
          <w:i w:val="0"/>
          <w:color w:val="2E2E2E"/>
          <w:sz w:val="21"/>
        </w:rPr>
        <w:t>A common worry: if a licensed client can open the scenario and see the modules, have they got our method? No — for two reasons.</w:t>
      </w:r>
    </w:p>
    <w:p>
      <w:pPr>
        <w:spacing w:after="60"/>
        <w:ind w:left="216"/>
      </w:pPr>
      <w:r>
        <w:rPr>
          <w:rFonts w:ascii="Arial" w:hAnsi="Arial"/>
          <w:b/>
          <w:i w:val="0"/>
          <w:color w:val="2E2E2E"/>
          <w:sz w:val="21"/>
        </w:rPr>
        <w:t>•  Seeing one scenario is not having the methodology.</w:t>
      </w:r>
      <w:r>
        <w:rPr>
          <w:rFonts w:ascii="Arial" w:hAnsi="Arial"/>
          <w:b w:val="0"/>
          <w:i w:val="0"/>
          <w:color w:val="2E2E2E"/>
          <w:sz w:val="21"/>
        </w:rPr>
        <w:t xml:space="preserve">  One built flow is the output of our process, not the process. A competitor who sees it can copy that one flow, but cannot replicate our discovery-to-build system, our pattern catalogue, or the judgment behind the next hundred builds. (As the pitch puts it: the prompts are copyable; the delivery process and the reusable IP library are not.)</w:t>
      </w:r>
    </w:p>
    <w:p>
      <w:pPr>
        <w:spacing w:after="60"/>
        <w:ind w:left="216"/>
      </w:pPr>
      <w:r>
        <w:rPr>
          <w:rFonts w:ascii="Arial" w:hAnsi="Arial"/>
          <w:b/>
          <w:i w:val="0"/>
          <w:color w:val="2E2E2E"/>
          <w:sz w:val="21"/>
        </w:rPr>
        <w:t>•  The licence controls how much is ever exposed.</w:t>
      </w:r>
      <w:r>
        <w:rPr>
          <w:rFonts w:ascii="Arial" w:hAnsi="Arial"/>
          <w:b w:val="0"/>
          <w:i w:val="0"/>
          <w:color w:val="2E2E2E"/>
          <w:sz w:val="21"/>
        </w:rPr>
        <w:t xml:space="preserve">  Exposure is a dial, not a given:</w:t>
      </w:r>
    </w:p>
    <w:p>
      <w:pPr>
        <w:spacing w:after="40"/>
      </w:pPr>
      <w:r>
        <w:rPr>
          <w:rFonts w:ascii="Arial" w:hAnsi="Arial"/>
          <w:b/>
          <w:i w:val="0"/>
          <w:color w:val="2E2E2E"/>
          <w:sz w:val="21"/>
        </w:rPr>
        <w:t xml:space="preserve">      – Black-boxed (managed side): </w:t>
      </w:r>
      <w:r>
        <w:rPr>
          <w:rFonts w:ascii="Arial" w:hAnsi="Arial"/>
          <w:b w:val="0"/>
          <w:i w:val="0"/>
          <w:color w:val="2E2E2E"/>
          <w:sz w:val="21"/>
        </w:rPr>
        <w:t>client gets outputs + right to use, never sees the build. Maximum protection.</w:t>
      </w:r>
    </w:p>
    <w:p>
      <w:pPr>
        <w:spacing w:after="40"/>
      </w:pPr>
      <w:r>
        <w:rPr>
          <w:rFonts w:ascii="Arial" w:hAnsi="Arial"/>
          <w:b/>
          <w:i w:val="0"/>
          <w:color w:val="2E2E2E"/>
          <w:sz w:val="21"/>
        </w:rPr>
        <w:t xml:space="preserve">      – Logic summary: </w:t>
      </w:r>
      <w:r>
        <w:rPr>
          <w:rFonts w:ascii="Arial" w:hAnsi="Arial"/>
          <w:b w:val="0"/>
          <w:i w:val="0"/>
          <w:color w:val="2E2E2E"/>
          <w:sz w:val="21"/>
        </w:rPr>
        <w:t>a workflow chart and status rules — the what, not the editable implementation.</w:t>
      </w:r>
    </w:p>
    <w:p>
      <w:pPr>
        <w:spacing w:after="120"/>
      </w:pPr>
      <w:r>
        <w:rPr>
          <w:rFonts w:ascii="Arial" w:hAnsi="Arial"/>
          <w:b/>
          <w:i w:val="0"/>
          <w:color w:val="2E2E2E"/>
          <w:sz w:val="21"/>
        </w:rPr>
        <w:t xml:space="preserve">      – Client-workspace (licensed): </w:t>
      </w:r>
      <w:r>
        <w:rPr>
          <w:rFonts w:ascii="Arial" w:hAnsi="Arial"/>
          <w:b w:val="0"/>
          <w:i w:val="0"/>
          <w:color w:val="2E2E2E"/>
          <w:sz w:val="21"/>
        </w:rPr>
        <w:t>runs in their environment for data/compliance reasons, but terms forbid copying or transfer; the reusable patterns stay ours.</w:t>
      </w:r>
    </w:p>
    <w:p>
      <w:pPr>
        <w:spacing w:after="80"/>
      </w:pPr>
      <w:r>
        <w:rPr>
          <w:rFonts w:ascii="Arial" w:hAnsi="Arial"/>
          <w:b/>
          <w:i w:val="0"/>
          <w:color w:val="B0143C"/>
          <w:sz w:val="28"/>
        </w:rPr>
        <w:t>5.  The three access tiers</w:t>
      </w:r>
    </w:p>
    <w:tbl>
      <w:tblPr>
        <w:tblStyle w:val="TableGrid"/>
        <w:tblW w:type="auto" w:w="0"/>
        <w:tblLook w:firstColumn="1" w:firstRow="1" w:lastColumn="0" w:lastRow="0" w:noHBand="0" w:noVBand="1" w:val="04A0"/>
      </w:tblPr>
      <w:tblGrid>
        <w:gridCol w:w="2160"/>
        <w:gridCol w:w="2160"/>
        <w:gridCol w:w="2160"/>
        <w:gridCol w:w="2160"/>
      </w:tblGrid>
      <w:tr>
        <w:tc>
          <w:tcPr>
            <w:tcW w:type="dxa" w:w="1872"/>
            <w:shd w:fill="1A1A1A"/>
          </w:tcPr>
          <w:p>
            <w:r>
              <w:rPr>
                <w:rFonts w:ascii="Arial" w:hAnsi="Arial"/>
                <w:b/>
                <w:color w:val="FFFFFF"/>
                <w:sz w:val="19"/>
              </w:rPr>
              <w:t>Tier</w:t>
            </w:r>
          </w:p>
        </w:tc>
        <w:tc>
          <w:tcPr>
            <w:tcW w:type="dxa" w:w="3168"/>
            <w:shd w:fill="1A1A1A"/>
          </w:tcPr>
          <w:p>
            <w:r>
              <w:rPr>
                <w:rFonts w:ascii="Arial" w:hAnsi="Arial"/>
                <w:b/>
                <w:color w:val="FFFFFF"/>
                <w:sz w:val="19"/>
              </w:rPr>
              <w:t>Client receives</w:t>
            </w:r>
          </w:p>
        </w:tc>
        <w:tc>
          <w:tcPr>
            <w:tcW w:type="dxa" w:w="2448"/>
            <w:shd w:fill="1A1A1A"/>
          </w:tcPr>
          <w:p>
            <w:r>
              <w:rPr>
                <w:rFonts w:ascii="Arial" w:hAnsi="Arial"/>
                <w:b/>
                <w:color w:val="FFFFFF"/>
                <w:sz w:val="19"/>
              </w:rPr>
              <w:t>We retain</w:t>
            </w:r>
          </w:p>
        </w:tc>
        <w:tc>
          <w:tcPr>
            <w:tcW w:type="dxa" w:w="3312"/>
            <w:shd w:fill="1A1A1A"/>
          </w:tcPr>
          <w:p>
            <w:r>
              <w:rPr>
                <w:rFonts w:ascii="Arial" w:hAnsi="Arial"/>
                <w:b/>
                <w:color w:val="FFFFFF"/>
                <w:sz w:val="19"/>
              </w:rPr>
              <w:t>Commercial shape</w:t>
            </w:r>
          </w:p>
        </w:tc>
      </w:tr>
      <w:tr>
        <w:tc>
          <w:tcPr>
            <w:tcW w:type="dxa" w:w="1872"/>
          </w:tcPr>
          <w:p>
            <w:r>
              <w:rPr>
                <w:rFonts w:ascii="Arial" w:hAnsi="Arial"/>
                <w:b/>
                <w:color w:val="2E2E2E"/>
                <w:sz w:val="18"/>
              </w:rPr>
              <w:t>Managed (default)</w:t>
            </w:r>
          </w:p>
        </w:tc>
        <w:tc>
          <w:tcPr>
            <w:tcW w:type="dxa" w:w="3168"/>
          </w:tcPr>
          <w:p>
            <w:r>
              <w:rPr>
                <w:rFonts w:ascii="Arial" w:hAnsi="Arial"/>
                <w:color w:val="2E2E2E"/>
                <w:sz w:val="18"/>
              </w:rPr>
              <w:t>Outputs, dashboards, approval queue, support</w:t>
            </w:r>
          </w:p>
        </w:tc>
        <w:tc>
          <w:tcPr>
            <w:tcW w:type="dxa" w:w="2448"/>
          </w:tcPr>
          <w:p>
            <w:r>
              <w:rPr>
                <w:rFonts w:ascii="Arial" w:hAnsi="Arial"/>
                <w:color w:val="2E2E2E"/>
                <w:sz w:val="18"/>
              </w:rPr>
              <w:t>Build, prompts, blueprints, methodology</w:t>
            </w:r>
          </w:p>
        </w:tc>
        <w:tc>
          <w:tcPr>
            <w:tcW w:type="dxa" w:w="3312"/>
          </w:tcPr>
          <w:p>
            <w:r>
              <w:rPr>
                <w:rFonts w:ascii="Arial" w:hAnsi="Arial"/>
                <w:color w:val="2E2E2E"/>
                <w:sz w:val="18"/>
              </w:rPr>
              <w:t>Setup + monthly. Recurring. We run and improve it.</w:t>
            </w:r>
          </w:p>
        </w:tc>
      </w:tr>
      <w:tr>
        <w:tc>
          <w:tcPr>
            <w:tcW w:type="dxa" w:w="1872"/>
          </w:tcPr>
          <w:p>
            <w:r>
              <w:rPr>
                <w:rFonts w:ascii="Arial" w:hAnsi="Arial"/>
                <w:b/>
                <w:color w:val="2E2E2E"/>
                <w:sz w:val="18"/>
              </w:rPr>
              <w:t>Licence (option)</w:t>
            </w:r>
          </w:p>
        </w:tc>
        <w:tc>
          <w:tcPr>
            <w:tcW w:type="dxa" w:w="3168"/>
          </w:tcPr>
          <w:p>
            <w:r>
              <w:rPr>
                <w:rFonts w:ascii="Arial" w:hAnsi="Arial"/>
                <w:color w:val="2E2E2E"/>
                <w:sz w:val="18"/>
              </w:rPr>
              <w:t>Right to use (annual or perpetual-restricted); optionally runs in their workspace or a logic summary</w:t>
            </w:r>
          </w:p>
        </w:tc>
        <w:tc>
          <w:tcPr>
            <w:tcW w:type="dxa" w:w="2448"/>
          </w:tcPr>
          <w:p>
            <w:r>
              <w:rPr>
                <w:rFonts w:ascii="Arial" w:hAnsi="Arial"/>
                <w:color w:val="2E2E2E"/>
                <w:sz w:val="18"/>
              </w:rPr>
              <w:t>Ownership of the build + all methodology; licence terms bind use</w:t>
            </w:r>
          </w:p>
        </w:tc>
        <w:tc>
          <w:tcPr>
            <w:tcW w:type="dxa" w:w="3312"/>
          </w:tcPr>
          <w:p>
            <w:r>
              <w:rPr>
                <w:rFonts w:ascii="Arial" w:hAnsi="Arial"/>
                <w:color w:val="2E2E2E"/>
                <w:sz w:val="18"/>
              </w:rPr>
              <w:t>Setup uplift + annual licence. Still recurring; we keep the IP.</w:t>
            </w:r>
          </w:p>
        </w:tc>
      </w:tr>
      <w:tr>
        <w:tc>
          <w:tcPr>
            <w:tcW w:type="dxa" w:w="1872"/>
          </w:tcPr>
          <w:p>
            <w:r>
              <w:rPr>
                <w:rFonts w:ascii="Arial" w:hAnsi="Arial"/>
                <w:b/>
                <w:color w:val="2E2E2E"/>
                <w:sz w:val="18"/>
              </w:rPr>
              <w:t>Full transfer</w:t>
            </w:r>
          </w:p>
        </w:tc>
        <w:tc>
          <w:tcPr>
            <w:tcW w:type="dxa" w:w="3168"/>
          </w:tcPr>
          <w:p>
            <w:r>
              <w:rPr>
                <w:rFonts w:ascii="Arial" w:hAnsi="Arial"/>
                <w:color w:val="2E2E2E"/>
                <w:sz w:val="18"/>
              </w:rPr>
              <w:t>Ownership of the build artifact, export, documentation</w:t>
            </w:r>
          </w:p>
        </w:tc>
        <w:tc>
          <w:tcPr>
            <w:tcW w:type="dxa" w:w="2448"/>
          </w:tcPr>
          <w:p>
            <w:r>
              <w:rPr>
                <w:rFonts w:ascii="Arial" w:hAnsi="Arial"/>
                <w:color w:val="2E2E2E"/>
                <w:sz w:val="18"/>
              </w:rPr>
              <w:t>General know-how only</w:t>
            </w:r>
          </w:p>
        </w:tc>
        <w:tc>
          <w:tcPr>
            <w:tcW w:type="dxa" w:w="3312"/>
          </w:tcPr>
          <w:p>
            <w:r>
              <w:rPr>
                <w:rFonts w:ascii="Arial" w:hAnsi="Arial"/>
                <w:b/>
                <w:color w:val="B26A00"/>
                <w:sz w:val="18"/>
              </w:rPr>
              <w:t>INTERNAL INFORMATION ONLY — not a client-facing offer. Priced to capitalise years of forgone recurring if ever considered.</w:t>
            </w:r>
          </w:p>
        </w:tc>
      </w:tr>
    </w:tbl>
    <w:p/>
    <w:p>
      <w:pPr>
        <w:spacing w:after="120"/>
      </w:pPr>
      <w:r>
        <w:rPr>
          <w:rFonts w:ascii="Arial" w:hAnsi="Arial"/>
          <w:b w:val="0"/>
          <w:i w:val="0"/>
          <w:color w:val="2E2E2E"/>
          <w:sz w:val="21"/>
        </w:rPr>
        <w:t>Default is Managed. Licence is the option we actively offer clients who want more autonomy, data in their own workspace, or an ownership feel — without us losing the asset. Full transfer is recorded here for internal clarity only; it is not presented to clients as a path, because handing over the owned artifact removes the control that protects both us and, ultimately, the client’s continuity.</w:t>
      </w:r>
    </w:p>
    <w:p>
      <w:pPr>
        <w:spacing w:after="80"/>
      </w:pPr>
      <w:r>
        <w:rPr>
          <w:rFonts w:ascii="Arial" w:hAnsi="Arial"/>
          <w:b/>
          <w:i w:val="0"/>
          <w:color w:val="B0143C"/>
          <w:sz w:val="28"/>
        </w:rPr>
        <w:t>6.  Why the licence model — not only to protect us</w:t>
      </w:r>
    </w:p>
    <w:p>
      <w:pPr>
        <w:spacing w:after="60"/>
        <w:ind w:left="216"/>
      </w:pPr>
      <w:r>
        <w:rPr>
          <w:rFonts w:ascii="Arial" w:hAnsi="Arial"/>
          <w:b/>
          <w:i w:val="0"/>
          <w:color w:val="2E2E2E"/>
          <w:sz w:val="21"/>
        </w:rPr>
        <w:t>•  Protects our existence.</w:t>
      </w:r>
      <w:r>
        <w:rPr>
          <w:rFonts w:ascii="Arial" w:hAnsi="Arial"/>
          <w:b w:val="0"/>
          <w:i w:val="0"/>
          <w:color w:val="2E2E2E"/>
          <w:sz w:val="21"/>
        </w:rPr>
        <w:t xml:space="preserve">  How we work is our knowledge; a licence keeps it ours.</w:t>
      </w:r>
    </w:p>
    <w:p>
      <w:pPr>
        <w:spacing w:after="60"/>
        <w:ind w:left="216"/>
      </w:pPr>
      <w:r>
        <w:rPr>
          <w:rFonts w:ascii="Arial" w:hAnsi="Arial"/>
          <w:b/>
          <w:i w:val="0"/>
          <w:color w:val="2E2E2E"/>
          <w:sz w:val="21"/>
        </w:rPr>
        <w:t>•  Keeps revenue recurring.</w:t>
      </w:r>
      <w:r>
        <w:rPr>
          <w:rFonts w:ascii="Arial" w:hAnsi="Arial"/>
          <w:b w:val="0"/>
          <w:i w:val="0"/>
          <w:color w:val="2E2E2E"/>
          <w:sz w:val="21"/>
        </w:rPr>
        <w:t xml:space="preserve">  An annual licence stays on-thesis — recurring by design — rather than a one-off that ends the relationship.</w:t>
      </w:r>
    </w:p>
    <w:p>
      <w:pPr>
        <w:spacing w:after="60"/>
        <w:ind w:left="216"/>
      </w:pPr>
      <w:r>
        <w:rPr>
          <w:rFonts w:ascii="Arial" w:hAnsi="Arial"/>
          <w:b/>
          <w:i w:val="0"/>
          <w:color w:val="2E2E2E"/>
          <w:sz w:val="21"/>
        </w:rPr>
        <w:t>•  Gives clients ownership-feel without the loss.</w:t>
      </w:r>
      <w:r>
        <w:rPr>
          <w:rFonts w:ascii="Arial" w:hAnsi="Arial"/>
          <w:b w:val="0"/>
          <w:i w:val="0"/>
          <w:color w:val="2E2E2E"/>
          <w:sz w:val="21"/>
        </w:rPr>
        <w:t xml:space="preserve">  Autonomy, data-in-their-workspace, and continuity — without us parting with the asset.</w:t>
      </w:r>
    </w:p>
    <w:p>
      <w:pPr>
        <w:spacing w:after="60"/>
        <w:ind w:left="216"/>
      </w:pPr>
      <w:r>
        <w:rPr>
          <w:rFonts w:ascii="Arial" w:hAnsi="Arial"/>
          <w:b/>
          <w:i w:val="0"/>
          <w:color w:val="2E2E2E"/>
          <w:sz w:val="21"/>
        </w:rPr>
        <w:t>•  Protects the client too.</w:t>
      </w:r>
      <w:r>
        <w:rPr>
          <w:rFonts w:ascii="Arial" w:hAnsi="Arial"/>
          <w:b w:val="0"/>
          <w:i w:val="0"/>
          <w:color w:val="2E2E2E"/>
          <w:sz w:val="21"/>
        </w:rPr>
        <w:t xml:space="preserve">  A licensed, supported automation with someone keeping it alive beats a raw hand-over that strands them the day a model changes or something breaks.</w:t>
      </w:r>
    </w:p>
    <w:p>
      <w:pPr>
        <w:spacing w:after="60"/>
        <w:ind w:left="216"/>
      </w:pPr>
      <w:r>
        <w:rPr>
          <w:rFonts w:ascii="Arial" w:hAnsi="Arial"/>
          <w:b/>
          <w:i w:val="0"/>
          <w:color w:val="2E2E2E"/>
          <w:sz w:val="21"/>
        </w:rPr>
        <w:t>•  Lets us reuse patterns.</w:t>
      </w:r>
      <w:r>
        <w:rPr>
          <w:rFonts w:ascii="Arial" w:hAnsi="Arial"/>
          <w:b w:val="0"/>
          <w:i w:val="0"/>
          <w:color w:val="2E2E2E"/>
          <w:sz w:val="21"/>
        </w:rPr>
        <w:t xml:space="preserve">  We keep the reusable library and improve every client’s build from what we learn across all of them.</w:t>
      </w:r>
    </w:p>
    <w:p>
      <w:pPr>
        <w:spacing w:after="80"/>
      </w:pPr>
      <w:r>
        <w:rPr>
          <w:rFonts w:ascii="Arial" w:hAnsi="Arial"/>
          <w:b/>
          <w:i w:val="0"/>
          <w:color w:val="B0143C"/>
          <w:sz w:val="28"/>
        </w:rPr>
        <w:t>7.  Where this policy is applied</w:t>
      </w:r>
    </w:p>
    <w:p>
      <w:pPr>
        <w:spacing w:after="60"/>
        <w:ind w:left="216"/>
      </w:pPr>
      <w:r>
        <w:rPr>
          <w:rFonts w:ascii="Arial" w:hAnsi="Arial"/>
          <w:b/>
          <w:i w:val="0"/>
          <w:color w:val="2E2E2E"/>
          <w:sz w:val="21"/>
        </w:rPr>
        <w:t>•  Pricing Calculator → “Access &amp; Licence Pricing” sheet</w:t>
      </w:r>
      <w:r>
        <w:rPr>
          <w:rFonts w:ascii="Arial" w:hAnsi="Arial"/>
          <w:b w:val="0"/>
          <w:i w:val="0"/>
          <w:color w:val="2E2E2E"/>
          <w:sz w:val="21"/>
        </w:rPr>
        <w:t xml:space="preserve">  — the three tiers and their numbers.</w:t>
      </w:r>
    </w:p>
    <w:p>
      <w:pPr>
        <w:spacing w:after="60"/>
        <w:ind w:left="216"/>
      </w:pPr>
      <w:r>
        <w:rPr>
          <w:rFonts w:ascii="Arial" w:hAnsi="Arial"/>
          <w:b/>
          <w:i w:val="0"/>
          <w:color w:val="2E2E2E"/>
          <w:sz w:val="21"/>
        </w:rPr>
        <w:t>•  MVP Scope Confirmation template</w:t>
      </w:r>
      <w:r>
        <w:rPr>
          <w:rFonts w:ascii="Arial" w:hAnsi="Arial"/>
          <w:b w:val="0"/>
          <w:i w:val="0"/>
          <w:color w:val="2E2E2E"/>
          <w:sz w:val="21"/>
        </w:rPr>
        <w:t xml:space="preserve">  — the access-model line: Managed (default) / Licence / Full transfer (internal information only).</w:t>
      </w:r>
    </w:p>
    <w:p>
      <w:pPr>
        <w:spacing w:after="60"/>
        <w:ind w:left="216"/>
      </w:pPr>
      <w:r>
        <w:rPr>
          <w:rFonts w:ascii="Arial" w:hAnsi="Arial"/>
          <w:b/>
          <w:i w:val="0"/>
          <w:color w:val="2E2E2E"/>
          <w:sz w:val="21"/>
        </w:rPr>
        <w:t>•  “How We Work” (EN/DE)</w:t>
      </w:r>
      <w:r>
        <w:rPr>
          <w:rFonts w:ascii="Arial" w:hAnsi="Arial"/>
          <w:b w:val="0"/>
          <w:i w:val="0"/>
          <w:color w:val="2E2E2E"/>
          <w:sz w:val="21"/>
        </w:rPr>
        <w:t xml:space="preserve">  — the IP-protected principle, cross-referenced to this policy.</w:t>
      </w:r>
    </w:p>
    <w:p>
      <w:pPr>
        <w:spacing w:after="60"/>
        <w:ind w:left="216"/>
      </w:pPr>
      <w:r>
        <w:rPr>
          <w:rFonts w:ascii="Arial" w:hAnsi="Arial"/>
          <w:b/>
          <w:i w:val="0"/>
          <w:color w:val="2E2E2E"/>
          <w:sz w:val="21"/>
        </w:rPr>
        <w:t>•  AI Fill Prompt Guide</w:t>
      </w:r>
      <w:r>
        <w:rPr>
          <w:rFonts w:ascii="Arial" w:hAnsi="Arial"/>
          <w:b w:val="0"/>
          <w:i w:val="0"/>
          <w:color w:val="2E2E2E"/>
          <w:sz w:val="21"/>
        </w:rPr>
        <w:t xml:space="preserve">  — the IP boundaries that keep methodology out of client-facing documents.</w:t>
      </w:r>
    </w:p>
    <w:p>
      <w:pPr>
        <w:spacing w:after="60"/>
        <w:ind w:left="216"/>
      </w:pPr>
      <w:r>
        <w:rPr>
          <w:rFonts w:ascii="Arial" w:hAnsi="Arial"/>
          <w:b/>
          <w:i w:val="0"/>
          <w:color w:val="2E2E2E"/>
          <w:sz w:val="21"/>
        </w:rPr>
        <w:t>•  Contracts</w:t>
      </w:r>
      <w:r>
        <w:rPr>
          <w:rFonts w:ascii="Arial" w:hAnsi="Arial"/>
          <w:b w:val="0"/>
          <w:i w:val="0"/>
          <w:color w:val="2E2E2E"/>
          <w:sz w:val="21"/>
        </w:rPr>
        <w:t xml:space="preserve">  — licence terms (use scope, no resale/sublicense/reverse-engineer), NDAs, and data agreements carry the legal force.</w:t>
      </w:r>
    </w:p>
    <w:p/>
    <w:p>
      <w:r>
        <w:rPr>
          <w:rFonts w:ascii="Arial" w:hAnsi="Arial"/>
          <w:b w:val="0"/>
          <w:i/>
          <w:color w:val="808080"/>
          <w:sz w:val="17"/>
        </w:rPr>
        <w:t>VortexDeep · vortexdeep.ch · internal document — methodology stays internal, not for client distribution.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E2E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