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0"/>
      </w:pPr>
      <w:r>
        <w:rPr>
          <w:b/>
          <w:bCs/>
          <w:color w:val="2E75B6"/>
          <w:sz w:val="36"/>
          <w:szCs w:val="36"/>
        </w:rPr>
        <w:t xml:space="preserve">Solution Blueprint Summary</w:t>
      </w:r>
    </w:p>
    <w:p>
      <w:pPr>
        <w:spacing w:after="240" w:before="0"/>
      </w:pPr>
      <w:r>
        <w:rPr>
          <w:i/>
          <w:iCs/>
          <w:color w:val="5B6770"/>
          <w:sz w:val="22"/>
          <w:szCs w:val="22"/>
        </w:rPr>
        <w:t xml:space="preserve">This is the client-facing view of how the automation will work — workflow, decisions, approvals, and safety boundaries. Internal implementation details (tools, prompts, scenario logic) are managed by the service provider unless otherwise contracted.</w:t>
      </w:r>
    </w:p>
    <w:p>
      <w:pPr>
        <w:spacing w:after="40" w:before="0"/>
      </w:pPr>
      <w:r>
        <w:rPr>
          <w:b/>
          <w:bCs/>
          <w:color w:val="5B6770"/>
          <w:sz w:val="22"/>
          <w:szCs w:val="22"/>
        </w:rPr>
        <w:t xml:space="preserve">Client: </w:t>
      </w:r>
      <w:r>
        <w:rPr>
          <w:sz w:val="22"/>
          <w:szCs w:val="22"/>
        </w:rPr>
        <w:t xml:space="preserve">[CLIENT NAME]</w:t>
      </w:r>
    </w:p>
    <w:p>
      <w:pPr>
        <w:spacing w:after="40" w:before="0"/>
      </w:pPr>
      <w:r>
        <w:rPr>
          <w:b/>
          <w:bCs/>
          <w:color w:val="5B6770"/>
          <w:sz w:val="22"/>
          <w:szCs w:val="22"/>
        </w:rPr>
        <w:t xml:space="preserve">Project: </w:t>
      </w:r>
      <w:r>
        <w:rPr>
          <w:sz w:val="22"/>
          <w:szCs w:val="22"/>
        </w:rPr>
        <w:t xml:space="preserve">[PROJECT NAME]</w:t>
      </w:r>
    </w:p>
    <w:p>
      <w:pPr>
        <w:spacing w:after="40" w:before="0"/>
      </w:pPr>
      <w:r>
        <w:rPr>
          <w:b/>
          <w:bCs/>
          <w:color w:val="5B6770"/>
          <w:sz w:val="22"/>
          <w:szCs w:val="22"/>
        </w:rPr>
        <w:t xml:space="preserve">Blueprint date: </w:t>
      </w:r>
      <w:r>
        <w:rPr>
          <w:sz w:val="22"/>
          <w:szCs w:val="22"/>
        </w:rPr>
        <w:t xml:space="preserve">[DATE]</w:t>
      </w:r>
    </w:p>
    <w:p>
      <w:pPr>
        <w:spacing w:after="40" w:before="0"/>
      </w:pPr>
      <w:r>
        <w:rPr>
          <w:b/>
          <w:bCs/>
          <w:color w:val="5B6770"/>
          <w:sz w:val="22"/>
          <w:szCs w:val="22"/>
        </w:rPr>
        <w:t xml:space="preserve">Prepared by: </w:t>
      </w:r>
      <w:r>
        <w:rPr>
          <w:sz w:val="22"/>
          <w:szCs w:val="22"/>
        </w:rPr>
        <w:t xml:space="preserve">[YOUR NAME]</w:t>
      </w:r>
    </w:p>
    <w:p>
      <w:pPr>
        <w:pStyle w:val="Heading2"/>
        <w:pBdr>
          <w:bottom w:val="single" w:color="2E75B6" w:sz="6" w:space="6"/>
        </w:pBdr>
        <w:spacing w:after="140" w:before="320"/>
      </w:pPr>
      <w:r>
        <w:rPr>
          <w:b/>
          <w:bCs/>
          <w:color w:val="2E75B6"/>
          <w:sz w:val="26"/>
          <w:szCs w:val="26"/>
        </w:rPr>
        <w:t xml:space="preserve">1. Workflow at a Glance</w:t>
      </w:r>
    </w:p>
    <w:p>
      <w:pPr>
        <w:spacing w:after="60" w:before="60" w:line="300"/>
        <w:rPr>
          <w:b/>
          <w:bCs/>
        </w:rPr>
      </w:pPr>
      <w:r>
        <w:rPr>
          <w:b/>
          <w:bCs/>
        </w:rPr>
        <w:t xml:space="preserve">One line:</w:t>
      </w:r>
    </w:p>
    <w:p>
      <w:pPr>
        <w:spacing w:after="60" w:before="60" w:line="300"/>
      </w:pPr>
      <w:r>
        <w:rPr>
          <w:i/>
          <w:iCs/>
          <w:color w:val="888888"/>
        </w:rPr>
        <w:t xml:space="preserve">[Single sentence. Example: "Website form or email arrives → AI classifies as LEAD / SEEKER / SPAM / TEST → category routing → Notion log → optional human-approved reply." or: "Invoice PDF arrives → AI extracts fields → validation check → CRM log → human confirms → accounting write."]</w:t>
      </w:r>
    </w:p>
    <w:p>
      <w:pPr>
        <w:pStyle w:val="Heading2"/>
        <w:pBdr>
          <w:bottom w:val="single" w:color="2E75B6" w:sz="6" w:space="6"/>
        </w:pBdr>
        <w:spacing w:after="140" w:before="320"/>
      </w:pPr>
      <w:r>
        <w:rPr>
          <w:b/>
          <w:bCs/>
          <w:color w:val="2E75B6"/>
          <w:sz w:val="26"/>
          <w:szCs w:val="26"/>
        </w:rPr>
        <w:t xml:space="preserve">2. Functional Steps</w:t>
      </w:r>
    </w:p>
    <w:p>
      <w:pPr>
        <w:spacing w:after="60" w:before="60" w:line="300"/>
        <w:rPr>
          <w:i/>
          <w:iCs/>
          <w:color w:val="5B6770"/>
        </w:rPr>
      </w:pPr>
      <w:r>
        <w:rPr>
          <w:i/>
          <w:iCs/>
          <w:color w:val="5B6770"/>
        </w:rPr>
        <w:t xml:space="preserve">The workflow described in plain business language:</w:t>
      </w:r>
    </w:p>
    <w:p>
      <w:pPr>
        <w:spacing w:after="60" w:before="60" w:line="300"/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>[Step 1 — e.g. Inquiry received via website form, email, or document upload]</w:t>
      </w:r>
    </w:p>
    <w:p>
      <w:pPr>
        <w:pStyle w:val="ListParagraph"/>
        <w:numPr>
          <w:ilvl w:val="0"/>
          <w:numId w:val="2"/>
        </w:numPr>
      </w:pPr>
      <w:r>
        <w:t xml:space="preserve">[Step 2 — e.g. AI classifies message into category / or: AI extracts structured fields from document]</w:t>
      </w:r>
    </w:p>
    <w:p>
      <w:pPr>
        <w:pStyle w:val="ListParagraph"/>
        <w:numPr>
          <w:ilvl w:val="0"/>
          <w:numId w:val="2"/>
        </w:numPr>
      </w:pPr>
      <w:r>
        <w:t xml:space="preserve">[Step 3 — e.g. Category-specific routing decision]</w:t>
      </w:r>
    </w:p>
    <w:p>
      <w:pPr>
        <w:pStyle w:val="ListParagraph"/>
        <w:numPr>
          <w:ilvl w:val="0"/>
          <w:numId w:val="2"/>
        </w:numPr>
      </w:pPr>
      <w:r>
        <w:t xml:space="preserve">[Step 4 — e.g. Notion / CRM record created]</w:t>
      </w:r>
    </w:p>
    <w:p>
      <w:pPr>
        <w:pStyle w:val="ListParagraph"/>
        <w:numPr>
          <w:ilvl w:val="0"/>
          <w:numId w:val="2"/>
        </w:numPr>
      </w:pPr>
      <w:r>
        <w:t xml:space="preserve">[Step 5 — e.g. Draft reply prepared for human approval / or: Extracted data presented for human confirmation before posting]</w:t>
      </w:r>
    </w:p>
    <w:p>
      <w:pPr>
        <w:pStyle w:val="ListParagraph"/>
        <w:numPr>
          <w:ilvl w:val="0"/>
          <w:numId w:val="2"/>
        </w:numPr>
      </w:pPr>
      <w:r>
        <w:t xml:space="preserve">[Step 6 — e.g. Human approves and sends, or AI auto-sends for safe categories only]</w:t>
      </w:r>
    </w:p>
    <w:p>
      <w:pPr>
        <w:pStyle w:val="ListParagraph"/>
        <w:numPr>
          <w:ilvl w:val="0"/>
          <w:numId w:val="2"/>
        </w:numPr>
      </w:pPr>
      <w:r>
        <w:t xml:space="preserve">[Step 7 — e.g. Audit log entry written for traceability]</w:t>
      </w:r>
    </w:p>
    <w:p>
      <w:pPr>
        <w:pStyle w:val="Heading2"/>
        <w:pBdr>
          <w:bottom w:val="single" w:color="2E75B6" w:sz="6" w:space="6"/>
        </w:pBdr>
        <w:spacing w:after="140" w:before="320"/>
      </w:pPr>
      <w:r>
        <w:rPr>
          <w:b/>
          <w:bCs/>
          <w:color w:val="2E75B6"/>
          <w:sz w:val="26"/>
          <w:szCs w:val="26"/>
        </w:rPr>
        <w:t xml:space="preserve">3. Categories &amp; Routing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2500"/>
        <w:gridCol w:w="1726"/>
      </w:tblGrid>
      <w:tr>
        <w:trPr>
          <w:tblHeader/>
        </w:trP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Category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Definition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Automated action</w:t>
            </w:r>
          </w:p>
        </w:tc>
        <w:tc>
          <w:tcPr>
            <w:tcW w:type="dxa" w:w="17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Human required?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</w:rPr>
              <w:t xml:space="preserve">[LEAD]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</w:rPr>
              <w:t xml:space="preserve">[Definition]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</w:rPr>
              <w:t xml:space="preserve">[Action]</w:t>
            </w:r>
          </w:p>
        </w:tc>
        <w:tc>
          <w:tcPr>
            <w:tcW w:type="dxa" w:w="17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</w:rPr>
              <w:t xml:space="preserve">[Yes / No]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</w:rPr>
              <w:t xml:space="preserve">[SEEKER]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</w:rPr>
              <w:t xml:space="preserve">[Definition]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</w:rPr>
              <w:t xml:space="preserve">[Action]</w:t>
            </w:r>
          </w:p>
        </w:tc>
        <w:tc>
          <w:tcPr>
            <w:tcW w:type="dxa" w:w="17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</w:rPr>
              <w:t xml:space="preserve">[Yes / No]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</w:rPr>
              <w:t xml:space="preserve">[SPAM]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</w:rPr>
              <w:t xml:space="preserve">[Definition]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</w:rPr>
              <w:t xml:space="preserve">[Action]</w:t>
            </w:r>
          </w:p>
        </w:tc>
        <w:tc>
          <w:tcPr>
            <w:tcW w:type="dxa" w:w="17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</w:rPr>
              <w:t xml:space="preserve">[Yes / No]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</w:rPr>
              <w:t xml:space="preserve">[UNKNOWN]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</w:rPr>
              <w:t xml:space="preserve">Low confidence or unclear classification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</w:rPr>
              <w:t xml:space="preserve">Route to Human Review folder</w:t>
            </w:r>
          </w:p>
        </w:tc>
        <w:tc>
          <w:tcPr>
            <w:tcW w:type="dxa" w:w="17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</w:rPr>
              <w:t xml:space="preserve">Yes</w:t>
            </w:r>
          </w:p>
        </w:tc>
      </w:tr>
    </w:tbl>
    <w:p>
      <w:pPr>
        <w:pStyle w:val="Heading2"/>
        <w:pBdr>
          <w:bottom w:val="single" w:color="2E75B6" w:sz="6" w:space="6"/>
        </w:pBdr>
        <w:spacing w:after="140" w:before="320"/>
      </w:pPr>
      <w:r>
        <w:rPr>
          <w:b/>
          <w:bCs/>
          <w:color w:val="2E75B6"/>
          <w:sz w:val="26"/>
          <w:szCs w:val="26"/>
        </w:rPr>
        <w:t xml:space="preserve">4. AI Boundaries</w:t>
      </w:r>
    </w:p>
    <w:p>
      <w:pPr>
        <w:spacing w:after="60" w:before="60" w:line="300"/>
        <w:rPr>
          <w:i/>
          <w:iCs/>
          <w:color w:val="5B6770"/>
        </w:rPr>
      </w:pPr>
      <w:r>
        <w:rPr>
          <w:i/>
          <w:iCs/>
          <w:color w:val="5B6770"/>
        </w:rPr>
        <w:t xml:space="preserve">Specific rules governing AI behavior in this workflow: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Boundary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Rule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</w:rPr>
              <w:t xml:space="preserve">What AI may classify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</w:rPr>
              <w:t xml:space="preserve">[Allowed categories from section 3]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</w:rPr>
              <w:t xml:space="preserve">What AI may draft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</w:rPr>
              <w:t xml:space="preserve">[e.g. Replies for LEAD/SEEKER; never sensitive topics]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</w:rPr>
              <w:t xml:space="preserve">What AI may auto-send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</w:rPr>
              <w:t xml:space="preserve">[e.g. None / Safe categories only / Full]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</w:rPr>
              <w:t xml:space="preserve">What AI must never do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</w:rPr>
              <w:t xml:space="preserve">[e.g. Provide health/legal/financial advice]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</w:rPr>
              <w:t xml:space="preserve">Confidence threshold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</w:rPr>
              <w:t xml:space="preserve">[e.g. Below X% confidence → Human Review]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</w:rPr>
              <w:t xml:space="preserve">Sensitive content handling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</w:rPr>
              <w:t xml:space="preserve">[e.g. Route directly to human; no AI involvement]</w:t>
            </w:r>
          </w:p>
        </w:tc>
      </w:tr>
    </w:tbl>
    <w:p>
      <w:pPr>
        <w:pStyle w:val="Heading2"/>
        <w:pBdr>
          <w:bottom w:val="single" w:color="2E75B6" w:sz="6" w:space="6"/>
        </w:pBdr>
        <w:spacing w:after="140" w:before="320"/>
      </w:pPr>
      <w:r>
        <w:rPr>
          <w:b/>
          <w:bCs/>
          <w:color w:val="2E75B6"/>
          <w:sz w:val="26"/>
          <w:szCs w:val="26"/>
        </w:rPr>
        <w:t xml:space="preserve">5. Approval Workflow</w:t>
      </w:r>
    </w:p>
    <w:p>
      <w:pPr>
        <w:spacing w:after="60" w:before="60" w:line="300"/>
        <w:rPr>
          <w:i/>
          <w:iCs/>
          <w:color w:val="5B6770"/>
        </w:rPr>
      </w:pPr>
      <w:r>
        <w:rPr>
          <w:i/>
          <w:iCs/>
          <w:color w:val="5B6770"/>
        </w:rPr>
        <w:t xml:space="preserve">Where humans review or approve AI output: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000"/>
        <w:gridCol w:w="2526"/>
      </w:tblGrid>
      <w:tr>
        <w:trPr>
          <w:tblHeader/>
        </w:trP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Approval point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Who approves</w:t>
            </w:r>
          </w:p>
        </w:tc>
        <w:tc>
          <w:tcPr>
            <w:tcW w:type="dxa" w:w="2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How long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</w:rPr>
              <w:t xml:space="preserve">[e.g. AI-drafted replies before sending]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</w:rPr>
              <w:t xml:space="preserve">[Owner role]</w:t>
            </w:r>
          </w:p>
        </w:tc>
        <w:tc>
          <w:tcPr>
            <w:tcW w:type="dxa" w:w="2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</w:rPr>
              <w:t xml:space="preserve">[Target turnaround]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</w:rPr>
              <w:t xml:space="preserve">[e.g. Escalation cases]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</w:rPr>
              <w:t xml:space="preserve">[Owner role]</w:t>
            </w:r>
          </w:p>
        </w:tc>
        <w:tc>
          <w:tcPr>
            <w:tcW w:type="dxa" w:w="2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</w:rPr>
              <w:t xml:space="preserve">[Turnaround]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</w:rPr>
              <w:t xml:space="preserve">[Add rows]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2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pPr>
        <w:pStyle w:val="Heading2"/>
        <w:pBdr>
          <w:bottom w:val="single" w:color="2E75B6" w:sz="6" w:space="6"/>
        </w:pBdr>
        <w:spacing w:after="140" w:before="320"/>
      </w:pPr>
      <w:r>
        <w:rPr>
          <w:b/>
          <w:bCs/>
          <w:color w:val="2E75B6"/>
          <w:sz w:val="26"/>
          <w:szCs w:val="26"/>
        </w:rPr>
        <w:t xml:space="preserve">6. Tools &amp; Integrations (High Level)</w:t>
      </w:r>
    </w:p>
    <w:p>
      <w:pPr>
        <w:spacing w:after="60" w:before="60" w:line="300"/>
        <w:rPr>
          <w:i/>
          <w:iCs/>
          <w:color w:val="5B6770"/>
        </w:rPr>
      </w:pPr>
      <w:r>
        <w:rPr>
          <w:i/>
          <w:iCs/>
          <w:color w:val="5B6770"/>
        </w:rPr>
        <w:t xml:space="preserve">The automation will integrate with these systems. Internal implementation details (specific scenarios, prompts, scripts) remain with the service provider.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026"/>
      </w:tblGrid>
      <w:tr>
        <w:trPr>
          <w:tblHeader/>
        </w:trP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System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Used for</w:t>
            </w:r>
          </w:p>
        </w:tc>
        <w:tc>
          <w:tcPr>
            <w:tcW w:type="dxa" w:w="3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Access required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</w:rPr>
              <w:t xml:space="preserve">[e.g. Gmail / or: Document storage / Accounting connector]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</w:rPr>
              <w:t xml:space="preserve">[Reading inbound messages / or: Receiving and processing source documents or data]</w:t>
            </w:r>
          </w:p>
        </w:tc>
        <w:tc>
          <w:tcPr>
            <w:tcW w:type="dxa" w:w="3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</w:rPr>
              <w:t xml:space="preserve">[OAuth via client account]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</w:rPr>
              <w:t xml:space="preserve">[e.g. Notion / Airtable / HubSpot]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</w:rPr>
              <w:t xml:space="preserve">[CRM logging]</w:t>
            </w:r>
          </w:p>
        </w:tc>
        <w:tc>
          <w:tcPr>
            <w:tcW w:type="dxa" w:w="3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</w:rPr>
              <w:t xml:space="preserve">[Connection via client account]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</w:rPr>
              <w:t xml:space="preserve">[e.g. AI service]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</w:rPr>
              <w:t xml:space="preserve">[Classification + drafting]</w:t>
            </w:r>
          </w:p>
        </w:tc>
        <w:tc>
          <w:tcPr>
            <w:tcW w:type="dxa" w:w="3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</w:rPr>
              <w:t xml:space="preserve">[Provider-managed]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</w:rPr>
              <w:t xml:space="preserve">[Add rows]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3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pPr>
        <w:pStyle w:val="Heading2"/>
        <w:pBdr>
          <w:bottom w:val="single" w:color="2E75B6" w:sz="6" w:space="6"/>
        </w:pBdr>
        <w:spacing w:after="140" w:before="320"/>
      </w:pPr>
      <w:r>
        <w:rPr>
          <w:b/>
          <w:bCs/>
          <w:color w:val="2E75B6"/>
          <w:sz w:val="26"/>
          <w:szCs w:val="26"/>
        </w:rPr>
        <w:t xml:space="preserve">7. Security &amp; Access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Credentials use OAuth / connection-based access — no shared passwords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API keys and secrets remain in the service provider's managed environment (not exposed in this document or any client-facing artifact)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Client business accounts (Gmail, Instagram, CRM) remain owned by the client; access can be revoked at any time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[Add any project-specific security notes here]</w:t>
      </w:r>
    </w:p>
    <w:p>
      <w:pPr>
        <w:pStyle w:val="Heading2"/>
        <w:pBdr>
          <w:bottom w:val="single" w:color="2E75B6" w:sz="6" w:space="6"/>
        </w:pBdr>
        <w:spacing w:after="140" w:before="320"/>
      </w:pPr>
      <w:r>
        <w:rPr>
          <w:b/>
          <w:bCs/>
          <w:color w:val="2E75B6"/>
          <w:sz w:val="26"/>
          <w:szCs w:val="26"/>
        </w:rPr>
        <w:t xml:space="preserve">8. Error &amp; Monitoring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Every run writes an audit row (timestamp, message ID, category, action taken, status)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Failed runs trigger an alert via [email / Slack / SMS] to [owner]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If AI confidence is low, message is routed to Human Review — never auto-acted 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[Add project-specific monitoring rules]</w:t>
      </w:r>
    </w:p>
    <w:p>
      <w:pPr>
        <w:pStyle w:val="Heading2"/>
        <w:pBdr>
          <w:bottom w:val="single" w:color="2E75B6" w:sz="6" w:space="6"/>
        </w:pBdr>
        <w:spacing w:after="140" w:before="320"/>
      </w:pPr>
      <w:r>
        <w:rPr>
          <w:b/>
          <w:bCs/>
          <w:color w:val="2E75B6"/>
          <w:sz w:val="26"/>
          <w:szCs w:val="26"/>
        </w:rPr>
        <w:t xml:space="preserve">Approval to Proceed to Phase 4 (Build)</w:t>
      </w:r>
    </w:p>
    <w:p>
      <w:pPr>
        <w:spacing w:after="60" w:before="60" w:line="300"/>
        <w:rPr>
          <w:i/>
          <w:iCs/>
        </w:rPr>
      </w:pPr>
      <w:r>
        <w:rPr>
          <w:i/>
          <w:iCs/>
        </w:rPr>
        <w:t xml:space="preserve">By approving below, both parties confirm the workflow, AI boundaries, approval workflow, tools, security, and error handling described above. Approval triggers the build phase.</w:t>
      </w:r>
    </w:p>
    <w:p>
      <w:pPr>
        <w:spacing w:after="60" w:before="60" w:line="3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1626"/>
        <w:gridCol w:w="1400"/>
      </w:tblGrid>
      <w:tr>
        <w:trPr>
          <w:tblHeader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Role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Name</w:t>
            </w:r>
          </w:p>
        </w:tc>
        <w:tc>
          <w:tcPr>
            <w:tcW w:type="dxa" w:w="1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Date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Signature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Client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888888"/>
              </w:rPr>
              <w:t xml:space="preserve">[NAME]</w:t>
            </w:r>
          </w:p>
        </w:tc>
        <w:tc>
          <w:tcPr>
            <w:tcW w:type="dxa" w:w="1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888888"/>
              </w:rPr>
              <w:t xml:space="preserve">[DATE]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888888"/>
              </w:rPr>
              <w:t xml:space="preserve">[SIGNATURE]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Service Provider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888888"/>
              </w:rPr>
              <w:t xml:space="preserve">[NAME]</w:t>
            </w:r>
          </w:p>
        </w:tc>
        <w:tc>
          <w:tcPr>
            <w:tcW w:type="dxa" w:w="1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888888"/>
              </w:rPr>
              <w:t xml:space="preserve">[DATE]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888888"/>
              </w:rPr>
              <w:t xml:space="preserve">[SIGNATURE]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B6770"/>
        <w:sz w:val="18"/>
        <w:szCs w:val="18"/>
      </w:rPr>
      <w:t xml:space="preserve">Page </w:t>
    </w:r>
    <w:r>
      <w:rPr>
        <w:color w:val="5B677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5B6770"/>
        <w:sz w:val="18"/>
        <w:szCs w:val="18"/>
      </w:rPr>
      <w:t xml:space="preserve"> of </w:t>
    </w:r>
    <w:r>
      <w:rPr>
        <w:color w:val="5B677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B6770"/>
        <w:sz w:val="18"/>
        <w:szCs w:val="18"/>
      </w:rPr>
      <w:t xml:space="preserve">Solution Blueprint Summary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color w:val="2E75B6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3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2026-06-28T18:12:11.725Z</dcterms:created>
  <dcterms:modified xsi:type="dcterms:W3CDTF">2026-06-28T18:12:11.725Z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