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VDAIA · Phase 0 reference · reusable on the site (How We Work), in Discovery, and in proposals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A37"/>
          <w:sz w:val="34"/>
          <w:szCs w:val="34"/>
        </w:rPr>
        <w:t xml:space="preserve">Capability Statement — How We Automate</w:t>
      </w:r>
    </w:p>
    <w:p>
      <w:pPr>
        <w:pBdr>
          <w:bottom w:val="single" w:color="CCCCCC" w:sz="6" w:space="6"/>
        </w:pBdr>
        <w:spacing w:after="16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A37"/>
        </w:rPr>
        <w:t xml:space="preserve">The statement (EN)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VortexDeep automates what can be reliably automated and keeps a human on the decisions that carry risk. Where a system has a clean, well-documented API, we use it — the fast, dependable path that drives most of our workflows. Where software has no usable API — common in Swiss business tools — we can still reach it, with AI operating the interface the way a person would. In every case, the machine handles the repetitive, deterministic slice, and a person approves anything that is sent, paid, filed, or decided. Assistant, not autopilot: automation you can trust, wherever your systems allow it.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A37"/>
        </w:rPr>
        <w:t xml:space="preserve">The three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6200"/>
      </w:tblGrid>
      <w:tr>
        <w:tc>
          <w:tcPr>
            <w:tcW w:type="dxa" w:w="560"/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200"/>
            <w:shd w:fill="1F2A3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automation — where clean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system has a good, documented API, we use it. The fast, reliable path; it drives most of our workflows.</w:t>
            </w:r>
          </w:p>
        </w:tc>
      </w:tr>
      <w:tr>
        <w:tc>
          <w:tcPr>
            <w:tcW w:type="dxa" w:w="56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approval — on the decisions</w:t>
            </w:r>
          </w:p>
        </w:tc>
        <w:tc>
          <w:tcPr>
            <w:tcW w:type="dxa" w:w="6200"/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machine prepares; a person approves anything sent, paid, filed, or decided. Human control is where judgement and risk sit — independent of how the automation connects.</w:t>
            </w:r>
          </w:p>
        </w:tc>
      </w:tr>
      <w:tr>
        <w:tc>
          <w:tcPr>
            <w:tcW w:type="dxa" w:w="56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Interface-level reach — where no API exists</w:t>
            </w:r>
          </w:p>
        </w:tc>
        <w:tc>
          <w:tcPr>
            <w:tcW w:type="dxa" w:w="6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software has no usable API (common in Swiss tools — Abacus, cantonal portals, payroll), we still get in: AI operates the interface the way a person would, with a human checking each step.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stays human (always):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 judgement calls, the ambiguous cases, and the final sign-off on anything touching money, law, or people. Human-in-the-loop is about where the decision sits — not a limit on how much we automate.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2A37"/>
        </w:rPr>
        <w:t xml:space="preserve">Die Aussage (DE)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VortexDeep automatisiert, was sich zuverlässig automatisieren lässt, und behält den Menschen bei Entscheidungen mit Risiko im Ablauf. Wo eine saubere, dokumentierte Schnittstelle (API) besteht, nutzen wir sie — der schnelle, verlässliche Weg, der die meisten unserer Abläufe trägt. Wo Software keine nutzbare API hat — in Schweizer Geschäftssoftware häufig —, erreichen wir sie dennoch: KI bedient die Oberfläche wie ein Mensch. In jedem Fall übernimmt die Maschine den wiederkehrenden Teil, und ein Mensch gibt frei, was gesendet, bezahlt, abgelegt oder entschieden wird. Assistent, kein Autopilot.</w:t>
      </w:r>
    </w:p>
    <w:p>
      <w:pPr>
        <w:spacing w:before="2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VortexDeep · vortexdeep.ch · internal methodology — not for client distribution as-is; adapt for site/proposals.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2026-07-18T16:37:36.049Z</dcterms:created>
  <dcterms:modified xsi:type="dcterms:W3CDTF">2026-07-18T16:37:36.066Z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