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VDAIA · Overview Template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2A37"/>
          <w:sz w:val="36"/>
          <w:szCs w:val="36"/>
        </w:rPr>
        <w:t xml:space="preserve">The Chain — Segment to Delivery</w:t>
      </w:r>
    </w:p>
    <w:p>
      <w:pPr>
        <w:pBdr>
          <w:bottom w:val="single" w:color="CCCCCC" w:sz="6" w:space="6"/>
        </w:pBdr>
        <w:spacing w:after="16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The single, repeatable path from a stranger to a delivered automation. Each link names its source — showing that the Phase 0 targeting worksheet, the Fit Check, and the VD_docu process library are one consistent system, not three separate things.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F2A37"/>
        </w:rPr>
        <w:t xml:space="preserve">The one line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F2A37"/>
          <w:sz w:val="24"/>
          <w:szCs w:val="24"/>
        </w:rPr>
        <w:t xml:space="preserve">Segment  →  Need  →  Solution  →  Starting point  →  Delivery  →  Price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F2A37"/>
        </w:rPr>
        <w:t xml:space="preserve">In full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900"/>
        <w:gridCol w:w="3300"/>
        <w:gridCol w:w="3600"/>
      </w:tblGrid>
      <w:tr>
        <w:tc>
          <w:tcPr>
            <w:tcW w:type="dxa" w:w="560"/>
            <w:shd w:fill="1F2A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900"/>
            <w:shd w:fill="1F2A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</w:t>
            </w:r>
          </w:p>
        </w:tc>
        <w:tc>
          <w:tcPr>
            <w:tcW w:type="dxa" w:w="3300"/>
            <w:shd w:fill="1F2A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 it answers</w:t>
            </w:r>
          </w:p>
        </w:tc>
        <w:tc>
          <w:tcPr>
            <w:tcW w:type="dxa" w:w="3600"/>
            <w:shd w:fill="1F2A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(where it's defined)</w:t>
            </w:r>
          </w:p>
        </w:tc>
      </w:tr>
      <w:tr>
        <w:tc>
          <w:tcPr>
            <w:tcW w:type="dxa" w:w="5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Segment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 we target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0 — Targeting &amp; Wedge Selection worksheet</w:t>
            </w:r>
          </w:p>
        </w:tc>
      </w:tr>
      <w:tr>
        <w:tc>
          <w:tcPr>
            <w:tcW w:type="dxa" w:w="560"/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Need</w:t>
            </w:r>
          </w:p>
        </w:tc>
        <w:tc>
          <w:tcPr>
            <w:tcW w:type="dxa" w:w="3300"/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absorbs their time</w:t>
            </w:r>
          </w:p>
        </w:tc>
        <w:tc>
          <w:tcPr>
            <w:tcW w:type="dxa" w:w="3600"/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Fit Check “which area…” question = your g1–g10 groups</w:t>
            </w:r>
          </w:p>
        </w:tc>
      </w:tr>
      <w:tr>
        <w:tc>
          <w:tcPr>
            <w:tcW w:type="dxa" w:w="5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Solution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we fix it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VD_docu process pattern for that g-group (capture → classify → draft → route → log, held for approval).  → How it connects (API-first · human-gated · interface-level where no API): see 0_VortexDeep_Capability_Statement_v01.</w:t>
            </w:r>
          </w:p>
        </w:tc>
      </w:tr>
      <w:tr>
        <w:tc>
          <w:tcPr>
            <w:tcW w:type="dxa" w:w="560"/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900"/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Starting point</w:t>
            </w:r>
          </w:p>
        </w:tc>
        <w:tc>
          <w:tcPr>
            <w:tcW w:type="dxa" w:w="3300"/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WHERE they begin</w:t>
            </w:r>
          </w:p>
        </w:tc>
        <w:tc>
          <w:tcPr>
            <w:tcW w:type="dxa" w:w="3600"/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Fit Check result — FireFight / Refine / Build / Optimize</w:t>
            </w:r>
          </w:p>
        </w:tc>
      </w:tr>
      <w:tr>
        <w:tc>
          <w:tcPr>
            <w:tcW w:type="dxa" w:w="5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we run it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six phases: Discovery → Scope → Solution → Build → Validation → Live</w:t>
            </w:r>
          </w:p>
        </w:tc>
      </w:tr>
      <w:tr>
        <w:tc>
          <w:tcPr>
            <w:tcW w:type="dxa" w:w="560"/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900"/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</w:t>
            </w:r>
          </w:p>
        </w:tc>
        <w:tc>
          <w:tcPr>
            <w:tcW w:type="dxa" w:w="3300"/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it costs</w:t>
            </w:r>
          </w:p>
        </w:tc>
        <w:tc>
          <w:tcPr>
            <w:tcW w:type="dxa" w:w="3600"/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pricing template for that process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Read as a sentence: 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For a chosen segment, the Fit Check surfaces the need (a g-group); we map it to the matching solution pattern; the Fit Check profile tells us the starting point; we run it through the six-phase delivery; and the process template gives the price.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F2A37"/>
        </w:rPr>
        <w:t xml:space="preserve">Where the simplified process flows belong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simplified process flows — g1–g10 and add1–add9 (in _VDAIA_Processes, compiled in vortexdeep-flows.pdf and vd-pattern-catalogue) — are the SOLUTION LIBRARY. They are link 3 of the Chain: the catalogue of patterns we deliver.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•  Phase 0 worksheet chooses the segment (link 1) and picks which flow to lead with (the wedge).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•  The Fit Check identifies the need (link 2), which maps to a flow.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•  The chosen flow (link 3) is the solution; its pricing template gives link 6.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So nothing is missing — the flows are not a separate step; they are the Solution link, referenced by the worksheet and the Fit Check, and delivered through the six phases.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F2A37"/>
        </w:rPr>
        <w:t xml:space="preserve">This engagement's chain (fill per prospect)</w:t>
      </w:r>
    </w:p>
    <w:p>
      <w:pPr>
        <w:spacing w:after="1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Copy this page per prospect. Fill the shaded cells as the engagement moves from Fit Check through Discovery. It is the coversheet that ties the whole file together.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1F2A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</w:t>
            </w:r>
          </w:p>
        </w:tc>
        <w:tc>
          <w:tcPr>
            <w:tcW w:type="dxa" w:w="6360"/>
            <w:shd w:fill="1F2A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This engagement</w:t>
            </w:r>
          </w:p>
        </w:tc>
      </w:tr>
      <w:tr>
        <w:tc>
          <w:tcPr>
            <w:tcW w:type="dxa" w:w="3000"/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Segment</w:t>
            </w:r>
          </w:p>
        </w:tc>
        <w:tc>
          <w:tcPr>
            <w:tcW w:type="dxa" w:w="6360"/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Need (g-group)</w:t>
            </w:r>
          </w:p>
        </w:tc>
        <w:tc>
          <w:tcPr>
            <w:tcW w:type="dxa" w:w="6360"/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Solution (pattern)</w:t>
            </w:r>
          </w:p>
        </w:tc>
        <w:tc>
          <w:tcPr>
            <w:tcW w:type="dxa" w:w="6360"/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Starting point</w:t>
            </w:r>
          </w:p>
        </w:tc>
        <w:tc>
          <w:tcPr>
            <w:tcW w:type="dxa" w:w="6360"/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Delivery phase</w:t>
            </w:r>
          </w:p>
        </w:tc>
        <w:tc>
          <w:tcPr>
            <w:tcW w:type="dxa" w:w="6360"/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Price (range → exact)</w:t>
            </w:r>
          </w:p>
        </w:tc>
        <w:tc>
          <w:tcPr>
            <w:tcW w:type="dxa" w:w="6360"/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VortexDeep · vortexdeep.ch · internal methodology — not for client distribution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2026-07-18T16:53:21.598Z</dcterms:created>
  <dcterms:modified xsi:type="dcterms:W3CDTF">2026-07-18T16:53:21.618Z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