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Discovery Summary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Confirms what we heard during discovery and the recommended next step. This is a working confirmation — please flag anything we got wrong before we move into MVP scoping.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Client: </w:t>
      </w:r>
      <w:r>
        <w:rPr>
          <w:sz w:val="22"/>
          <w:szCs w:val="22"/>
        </w:rPr>
        <w:t xml:space="preserve">[CLIENT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Project: </w:t>
      </w:r>
      <w:r>
        <w:rPr>
          <w:sz w:val="22"/>
          <w:szCs w:val="22"/>
        </w:rPr>
        <w:t xml:space="preserve">[PROJECT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Discovery date: </w:t>
      </w:r>
      <w:r>
        <w:rPr>
          <w:sz w:val="22"/>
          <w:szCs w:val="22"/>
        </w:rPr>
        <w:t xml:space="preserve">[DATE]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[YOUR NAME]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1. Business Context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[1–2 sentences. What the business does, who its clients are, where it operates. Example: "Solo therapist with private practice in Zürich, mostly adult clients, two intake channels (website form + email)." or: "Small accounting firm with 15–20 clients/month, processing supplier invoices and purchase approval requests."]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2. Main Pain Point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[2–3 sentences describing the problem to solve. Be specific about what eats time today.]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Concrete examples we captured: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[Specific recurring task / process / message type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[Specific recurring task / process / message type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[Specific recurring task / process / message type 3]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3. Success Picture — 3 Months After Go-Live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[What "success" looks like in concrete, observable terms. Avoid vague goals like "save time" — capture outcomes like "no missed booking before noon" or "daily summary by 8am email."]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4. Channels, Sources &amp; Volume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Channel / Data source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Approximate weekly volume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Critical for business?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Gmail / or: Supplier invoice email inbox]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[under 20 / 20–100 / 100–500 / 500+]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Instagram DM / or: Document upload form / Accounting tool export]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[volume]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5. Sensitive Content &amp; Human-Only Boundaries</w:t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Sensitive content present?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[Yes / Sometimes / No. If yes, briefly describe — e.g. health, legal, financial, emotional content.]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Tasks that must always stay human: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[Task type 1 — e.g. therapy advice, complaint handling / or: financial data review before posting, legal document approval]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[Task type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[Task type 3]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AI comfort level (from pre-interview):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[(a) Never auto-send — approve every reply / (b) Auto-send only safe replies / (c) Auto-send most, escalate edge cases]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6. Initial Direction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Recommended package direction: </w:t>
      </w:r>
      <w:r>
        <w:rPr>
          <w:sz w:val="22"/>
          <w:szCs w:val="22"/>
        </w:rPr>
        <w:t xml:space="preserve">[Basic / Pro / Managed / Agentic]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Indicative setup price range: </w:t>
      </w:r>
      <w:r>
        <w:rPr>
          <w:sz w:val="22"/>
          <w:szCs w:val="22"/>
        </w:rPr>
        <w:t xml:space="preserve">CHF [LOW] – CHF [HIGH]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Indicative monthly price range: </w:t>
      </w:r>
      <w:r>
        <w:rPr>
          <w:sz w:val="22"/>
          <w:szCs w:val="22"/>
        </w:rPr>
        <w:t xml:space="preserve">CHF [LOW] – CHF [HIGH] / month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Why this direction: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[2–3 sentences. Connect the package choice to the pain point and AI comfort level — e.g. "Pro level fits because you have multiple channels and want drafted replies with approval, not auto-send." or: "Basic+ fits because you need document field extraction with human confirmation before any data is posted to your accounting system.]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Note: this is a direction, not a final quote. The locked scope and price come after Phase 2 (Scope / MVP Design).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7. Recommended Next Step</w:t>
      </w:r>
    </w:p>
    <w:p>
      <w:pPr>
        <w:spacing w:after="60" w:before="60" w:line="300"/>
      </w:pPr>
      <w:r>
        <w:t xml:space="preserve">We propose moving to Phase 2 — Scope / MVP Design — to lock down: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Exactly which features land in version 1 vs deferred to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Approval gates (where humans review AI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Final setup and monthly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Target go-live date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</w:pPr>
      <w:r>
        <w:rPr>
          <w:i/>
          <w:iCs/>
          <w:color w:val="888888"/>
        </w:rPr>
        <w:t xml:space="preserve">[Add any client-specific next steps or open questions here.]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Approval to Proceed to Phase 2</w:t>
      </w:r>
    </w:p>
    <w:p>
      <w:pPr>
        <w:spacing w:after="60" w:before="60" w:line="300"/>
        <w:rPr>
          <w:i/>
          <w:iCs/>
        </w:rPr>
      </w:pPr>
      <w:r>
        <w:rPr>
          <w:i/>
          <w:iCs/>
        </w:rPr>
        <w:t xml:space="preserve">Please confirm this discovery summary is accurate before we move to Scope / MVP Design.</w:t>
      </w:r>
    </w:p>
    <w:p>
      <w:pPr>
        <w:spacing w:after="60" w:before="6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26"/>
        <w:gridCol w:w="14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 Provider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Discovery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2026-06-28T18:12:11.535Z</dcterms:created>
  <dcterms:modified xsi:type="dcterms:W3CDTF">2026-06-28T18:12:11.535Z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