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Discovery Reference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One shape underneath every problem — how to place a client’s problem, show where the human stays in control, and scope it the same way every time.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Document: </w:t>
      </w:r>
      <w:r>
        <w:rPr>
          <w:sz w:val="22"/>
          <w:szCs w:val="22"/>
        </w:rPr>
        <w:t xml:space="preserve">Internal discovery reference &amp; scoping worksheet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Audience: </w:t>
      </w:r>
      <w:r>
        <w:rPr>
          <w:sz w:val="22"/>
          <w:szCs w:val="22"/>
        </w:rPr>
        <w:t xml:space="preserve">VortexDeep — client-facing discovery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v01 · [DATE]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[YOUR NAME]</w:t>
      </w:r>
    </w:p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The three layers</w:t>
      </w:r>
    </w:p>
    <w:p>
      <w:pPr>
        <w:spacing w:after="100" w:before="0" w:line="276"/>
      </w:pPr>
      <w:r>
        <w:rPr>
          <w:b/>
          <w:bCs/>
          <w:color w:val="2E75B6"/>
          <w:sz w:val="22"/>
          <w:szCs w:val="22"/>
        </w:rPr>
        <w:t xml:space="preserve">What we solve · the problem map — </w:t>
      </w:r>
      <w:r>
        <w:rPr>
          <w:sz w:val="22"/>
          <w:szCs w:val="22"/>
        </w:rPr>
        <w:t xml:space="preserve">Four groups, ten sub-processes — organised the way an owner thinks, by function and pain, not by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Communication &amp; Customers — intake · support ·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Sales &amp; Growth — pipeline · content · 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Documents &amp; Finance — document/data processing · finance &amp;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Operations &amp; Insight — internal operations · reporting &amp; analytics</w:t>
      </w:r>
    </w:p>
    <w:p>
      <w:pPr>
        <w:spacing w:after="100" w:before="0" w:line="276"/>
      </w:pPr>
      <w:r>
        <w:rPr>
          <w:b/>
          <w:bCs/>
          <w:color w:val="2E75B6"/>
          <w:sz w:val="22"/>
          <w:szCs w:val="22"/>
        </w:rPr>
        <w:t xml:space="preserve">How it’s built · the primitive — </w:t>
      </w:r>
      <w:r>
        <w:rPr>
          <w:sz w:val="22"/>
          <w:szCs w:val="22"/>
        </w:rPr>
        <w:t xml:space="preserve">Nearly every solution is the same shape (below). Departments differ; the mechanics rarely do — so most work is adaptation from reusable blocks, not invention.</w:t>
      </w:r>
    </w:p>
    <w:p>
      <w:pPr>
        <w:spacing w:after="100" w:before="0" w:line="276"/>
      </w:pPr>
      <w:r>
        <w:rPr>
          <w:b/>
          <w:bCs/>
          <w:color w:val="2E75B6"/>
          <w:sz w:val="22"/>
          <w:szCs w:val="22"/>
        </w:rPr>
        <w:t xml:space="preserve">How it’s delivered · the method — </w:t>
      </w:r>
      <w:r>
        <w:rPr>
          <w:sz w:val="22"/>
          <w:szCs w:val="22"/>
        </w:rPr>
        <w:t xml:space="preserve">Six phases: Discovery → Scope → Solution → Build → Validation → Live. Written sign-off at each. A human approves — not full autopilot.</w:t>
      </w:r>
    </w:p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The primitive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1520"/>
        <w:gridCol w:w="356"/>
        <w:gridCol w:w="1520"/>
        <w:gridCol w:w="356"/>
        <w:gridCol w:w="1520"/>
        <w:gridCol w:w="356"/>
        <w:gridCol w:w="1520"/>
        <w:gridCol w:w="356"/>
        <w:gridCol w:w="1522"/>
      </w:tblGrid>
      <w:tr>
        <w:tc>
          <w:tcPr>
            <w:tcW w:w="1520" w:type="dxa"/>
            <w:shd w:val="clear" w:color="auto" w:fill="0E28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w="3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Capture</w:t>
            </w:r>
          </w:p>
        </w:tc>
        <w:tc>
          <w:tcPr>
            <w:tcW w:w="3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Classify / Decide</w:t>
            </w:r>
          </w:p>
        </w:tc>
        <w:tc>
          <w:tcPr>
            <w:tcW w:w="3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0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Draft or act — held for a human</w:t>
            </w:r>
          </w:p>
        </w:tc>
        <w:tc>
          <w:tcPr>
            <w:tcW w:w="3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B6770"/>
                <w:sz w:val="22"/>
                <w:szCs w:val="22"/>
              </w:rPr>
              <w:t xml:space="preserve">→</w:t>
            </w:r>
          </w:p>
        </w:tc>
        <w:tc>
          <w:tcPr>
            <w:tcW w:w="15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Route · File · Log</w:t>
            </w:r>
          </w:p>
        </w:tc>
      </w:tr>
    </w:tbl>
    <w:p>
      <w:pPr>
        <w:spacing w:after="160" w:before="0"/>
      </w:pPr>
      <w:r>
        <w:rPr>
          <w:i/>
          <w:iCs/>
          <w:color w:val="888888"/>
          <w:sz w:val="20"/>
          <w:szCs w:val="20"/>
        </w:rPr>
        <w:t xml:space="preserve">Almost every solution is this shape. The only things that change between them are the dials below.</w:t>
      </w:r>
    </w:p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The dials that set effort &amp;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Trigger — </w:t>
      </w:r>
      <w:r>
        <w:rPr>
          <w:sz w:val="22"/>
          <w:szCs w:val="22"/>
        </w:rPr>
        <w:t xml:space="preserve">inbound event · scheduled · threshold-monitored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Decision classes / branches — </w:t>
      </w:r>
      <w:r>
        <w:rPr>
          <w:sz w:val="22"/>
          <w:szCs w:val="22"/>
        </w:rPr>
        <w:t xml:space="preserve">none · one · several · multi-dimensional (e.g. language ×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Systems touched — </w:t>
      </w:r>
      <w:r>
        <w:rPr>
          <w:sz w:val="22"/>
          <w:szCs w:val="22"/>
        </w:rPr>
        <w:t xml:space="preserve">inbox · CRM · accounting · calendar · document store · data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Human gates — </w:t>
      </w:r>
      <w:r>
        <w:rPr>
          <w:sz w:val="22"/>
          <w:szCs w:val="22"/>
        </w:rPr>
        <w:t xml:space="preserve">drafted reply held for approval · internal notify · money / publish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Fan-out — </w:t>
      </w:r>
      <w:r>
        <w:rPr>
          <w:sz w:val="22"/>
          <w:szCs w:val="22"/>
        </w:rPr>
        <w:t xml:space="preserve">one input producing several drafts</w:t>
      </w:r>
    </w:p>
    <w:p>
      <w:pPr>
        <w:spacing w:after="60" w:before="120"/>
      </w:pPr>
      <w:r>
        <w:rPr>
          <w:b/>
          <w:bCs/>
          <w:color w:val="5B6770"/>
          <w:sz w:val="20"/>
          <w:szCs w:val="20"/>
        </w:rPr>
        <w:t xml:space="preserve">Complexity tiers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1900"/>
        <w:gridCol w:w="7126"/>
      </w:tblGrid>
      <w:tr>
        <w:tc>
          <w:tcPr>
            <w:tcW w:w="1900" w:type="dxa"/>
            <w:shd w:val="clear" w:color="auto" w:fill="EAF0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Base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capture, route, file/log; little or no branching.</w:t>
            </w:r>
          </w:p>
        </w:tc>
      </w:tr>
      <w:tr>
        <w:tc>
          <w:tcPr>
            <w:tcW w:w="1900" w:type="dxa"/>
            <w:shd w:val="clear" w:color="auto" w:fill="EAF0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Base + triage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classify into a few classes + a drafted reply held for review.</w:t>
            </w:r>
          </w:p>
        </w:tc>
      </w:tr>
      <w:tr>
        <w:tc>
          <w:tcPr>
            <w:tcW w:w="1900" w:type="dxa"/>
            <w:shd w:val="clear" w:color="auto" w:fill="EAF0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Multi-branch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several decision points or checks before routing.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Two things that are always true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Approve-before-send — </w:t>
            </w:r>
            <w:r>
              <w:rPr>
                <w:sz w:val="20"/>
                <w:szCs w:val="20"/>
              </w:rPr>
              <w:t xml:space="preserve">the human stays in control. That’s the product, not a caveat — and usually the reassurance that closes the trust gap.</w:t>
            </w:r>
          </w:p>
        </w:tc>
      </w:tr>
      <w:tr>
        <w:tc>
          <w:tcPr>
            <w:tcW w:w="9026" w:type="dxa"/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Everything ends in a log / file / index — </w:t>
            </w:r>
            <w:r>
              <w:rPr>
                <w:sz w:val="20"/>
                <w:szCs w:val="20"/>
              </w:rPr>
              <w:t xml:space="preserve">quiet auditability by default, which sits well with Swiss/EU record-keeping habits.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Using this in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Place the problem on the map, then sketch the primitive back to the client in their own words — fast, visible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Walk the five dials out loud; each answer is a scoping fact, not a guess (worksheet overleaf).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Point at the human gate explicitly — it’s where “assistant, not autopilot” becomes concrete.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a request doesn’t fit the shape — autonomous, real-time, heavy data science, or a big one-off migration — say so early.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Scoping Worksheet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One situation per sheet. Capture the dials during the call — the tier and the estimate follow from them.</w:t>
      </w:r>
    </w:p>
    <w:p>
      <w:pPr>
        <w:spacing w:after="120" w:before="0"/>
      </w:pPr>
      <w:r>
        <w:rPr>
          <w:b/>
          <w:bCs/>
          <w:color w:val="5B6770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[            ]        </w:t>
      </w:r>
      <w:r>
        <w:rPr>
          <w:b/>
          <w:bCs/>
          <w:color w:val="5B6770"/>
          <w:sz w:val="22"/>
          <w:szCs w:val="22"/>
        </w:rPr>
        <w:t xml:space="preserve">Date: </w:t>
      </w:r>
      <w:r>
        <w:rPr>
          <w:sz w:val="22"/>
          <w:szCs w:val="22"/>
        </w:rPr>
        <w:t xml:space="preserve">[            ]        </w:t>
      </w:r>
      <w:r>
        <w:rPr>
          <w:b/>
          <w:bCs/>
          <w:color w:val="5B6770"/>
          <w:sz w:val="22"/>
          <w:szCs w:val="22"/>
        </w:rPr>
        <w:t xml:space="preserve">Owner: </w:t>
      </w:r>
      <w:r>
        <w:rPr>
          <w:sz w:val="22"/>
          <w:szCs w:val="22"/>
        </w:rPr>
        <w:t xml:space="preserve">[            ]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Situation — who, what pain, what trigger</w:t>
      </w:r>
    </w:p>
    <w:p>
      <w:pPr>
        <w:pBdr>
          <w:bottom w:val="single" w:color="C9D2DD" w:sz="6" w:space="4"/>
        </w:pBdr>
        <w:spacing w:after="20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2DD" w:sz="6" w:space="4"/>
        </w:pBdr>
        <w:spacing w:after="200" w:before="120"/>
      </w:pPr>
      <w:r>
        <w:rPr>
          <w:sz w:val="22"/>
          <w:szCs w:val="22"/>
        </w:rPr>
        <w:t xml:space="preserve"> 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Trigger</w:t>
      </w:r>
    </w:p>
    <w:p>
      <w:pPr>
        <w:spacing w:after="100" w:before="0" w:line="276"/>
      </w:pPr>
      <w:r>
        <w:rPr>
          <w:sz w:val="22"/>
          <w:szCs w:val="22"/>
        </w:rPr>
        <w:t xml:space="preserve">☐ Inbound event      ☐ Scheduled / time-based      ☐ Threshold / monitored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Decision classes / branches</w:t>
      </w:r>
    </w:p>
    <w:p>
      <w:pPr>
        <w:spacing w:after="100" w:before="0" w:line="276"/>
      </w:pPr>
      <w:r>
        <w:rPr>
          <w:sz w:val="22"/>
          <w:szCs w:val="22"/>
        </w:rPr>
        <w:t xml:space="preserve">Count: __________        Dimensions (e.g. type × language): ______________________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Systems touched</w:t>
      </w:r>
    </w:p>
    <w:p>
      <w:pPr>
        <w:spacing w:after="100" w:before="0" w:line="276"/>
      </w:pPr>
      <w:r>
        <w:rPr>
          <w:sz w:val="22"/>
          <w:szCs w:val="22"/>
        </w:rPr>
        <w:t xml:space="preserve">☐ Inbox / email    ☐ CRM    ☐ Accounting    ☐ Calendar    ☐ Document store    ☐ Data feed    ☐ Other: ________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Human gates</w:t>
      </w:r>
    </w:p>
    <w:p>
      <w:pPr>
        <w:spacing w:after="100" w:before="0" w:line="276"/>
      </w:pPr>
      <w:r>
        <w:rPr>
          <w:sz w:val="22"/>
          <w:szCs w:val="22"/>
        </w:rPr>
        <w:t xml:space="preserve">☐ Drafted reply held for approval      ☐ Internal notify      ☐ Money / publish sign-off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Fan-out (one input → several outputs)?</w:t>
      </w:r>
    </w:p>
    <w:p>
      <w:pPr>
        <w:spacing w:after="100" w:before="0" w:line="276"/>
      </w:pPr>
      <w:r>
        <w:rPr>
          <w:sz w:val="22"/>
          <w:szCs w:val="22"/>
        </w:rPr>
        <w:t xml:space="preserve">☐ No      ☐ Yes — how many: ______        Rough volume (per day / week): ______________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Tier</w:t>
      </w:r>
    </w:p>
    <w:p>
      <w:pPr>
        <w:spacing w:after="100" w:before="0" w:line="276"/>
      </w:pPr>
      <w:r>
        <w:rPr>
          <w:sz w:val="22"/>
          <w:szCs w:val="22"/>
        </w:rPr>
        <w:t xml:space="preserve">☐ Base      ☐ Base + triage      ☐ Multi-branch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Closest existing pattern (from catalogue)</w:t>
      </w:r>
    </w:p>
    <w:p>
      <w:pPr>
        <w:pBdr>
          <w:bottom w:val="single" w:color="C9D2DD" w:sz="6" w:space="4"/>
        </w:pBdr>
        <w:spacing w:after="200" w:before="120"/>
      </w:pPr>
      <w:r>
        <w:rPr>
          <w:sz w:val="22"/>
          <w:szCs w:val="22"/>
        </w:rPr>
        <w:t xml:space="preserve"> </w:t>
      </w:r>
    </w:p>
    <w:p>
      <w:pPr>
        <w:spacing w:after="40" w:before="120"/>
      </w:pPr>
      <w:r>
        <w:rPr>
          <w:b/>
          <w:bCs/>
          <w:color w:val="0E2841"/>
          <w:sz w:val="22"/>
          <w:szCs w:val="22"/>
        </w:rPr>
        <w:t xml:space="preserve">Notes / risks / integrations to confirm</w:t>
      </w:r>
    </w:p>
    <w:p>
      <w:pPr>
        <w:pBdr>
          <w:bottom w:val="single" w:color="C9D2DD" w:sz="6" w:space="4"/>
        </w:pBdr>
        <w:spacing w:after="20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2DD" w:sz="6" w:space="4"/>
        </w:pBdr>
        <w:spacing w:after="20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2DD" w:sz="6" w:space="4"/>
        </w:pBdr>
        <w:spacing w:after="200" w:before="12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i/>
          <w:iCs/>
          <w:color w:val="888888"/>
          <w:sz w:val="20"/>
          <w:szCs w:val="20"/>
        </w:rPr>
        <w:t xml:space="preserve">Reminder: this scopes recurring, supervised, moderate-volume office work. Flag anything autonomous, real-time, data-science-heavy, or a large one-off migration as out-of-shape before quoting. Signals map straight to the mgredshift “base + triage” precedent for pricing.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VortexDeep — Discovery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2026-06-28T18:12:11.535Z</dcterms:created>
  <dcterms:modified xsi:type="dcterms:W3CDTF">2026-06-28T18:12:11.535Z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