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color w:val="2E75B6"/>
          <w:sz w:val="36"/>
          <w:szCs w:val="36"/>
        </w:rPr>
        <w:t xml:space="preserve">Discovery Reference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One shape underneath every problem — how to place a client’s problem, show where the human stays in control, and scope it the same way every time.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Document: </w:t>
      </w:r>
      <w:r>
        <w:rPr>
          <w:sz w:val="22"/>
          <w:szCs w:val="22"/>
        </w:rPr>
        <w:t xml:space="preserve">Internal discovery reference (evergreen)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Companion: </w:t>
      </w:r>
      <w:r>
        <w:rPr>
          <w:sz w:val="22"/>
          <w:szCs w:val="22"/>
        </w:rPr>
        <w:t xml:space="preserve">Scoping Worksheet (separate fillable file)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Audience: </w:t>
      </w:r>
      <w:r>
        <w:rPr>
          <w:sz w:val="22"/>
          <w:szCs w:val="22"/>
        </w:rPr>
        <w:t xml:space="preserve">VortexDeep — client-facing discovery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Version: </w:t>
      </w:r>
      <w:r>
        <w:rPr>
          <w:sz w:val="22"/>
          <w:szCs w:val="22"/>
        </w:rPr>
        <w:t xml:space="preserve">v01</w:t>
      </w:r>
    </w:p>
    <w:p>
      <w:pPr>
        <w:pStyle w:val="Heading2"/>
        <w:pBdr>
          <w:bottom w:val="single" w:color="2E75B6" w:sz="6" w:space="4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1. The three layers</w:t>
      </w:r>
    </w:p>
    <w:p>
      <w:pPr>
        <w:spacing w:after="100" w:before="0" w:line="276"/>
      </w:pPr>
      <w:r>
        <w:rPr>
          <w:b/>
          <w:bCs/>
          <w:color w:val="2E75B6"/>
          <w:sz w:val="22"/>
          <w:szCs w:val="22"/>
        </w:rPr>
        <w:t xml:space="preserve">What we solve · the problem map — </w:t>
      </w:r>
      <w:r>
        <w:rPr>
          <w:sz w:val="22"/>
          <w:szCs w:val="22"/>
        </w:rPr>
        <w:t xml:space="preserve">Four groups, ten sub-processes — organised the way an owner thinks, by function and pain, not by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Communication &amp; Customers — intake · support ·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Sales &amp; Growth — pipeline · content · e-commerce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Documents &amp; Finance — document/data processing · finance &amp;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Operations &amp; Insight — internal operations · reporting &amp; analytics</w:t>
      </w:r>
    </w:p>
    <w:p>
      <w:pPr>
        <w:spacing w:after="100" w:before="0" w:line="276"/>
      </w:pPr>
      <w:r>
        <w:rPr>
          <w:b/>
          <w:bCs/>
          <w:color w:val="2E75B6"/>
          <w:sz w:val="22"/>
          <w:szCs w:val="22"/>
        </w:rPr>
        <w:t xml:space="preserve">How it’s built · the primitive — </w:t>
      </w:r>
      <w:r>
        <w:rPr>
          <w:sz w:val="22"/>
          <w:szCs w:val="22"/>
        </w:rPr>
        <w:t xml:space="preserve">Nearly every solution is the same shape (below). Departments differ; the mechanics rarely do — so most work is adaptation from reusable blocks, not invention.</w:t>
      </w:r>
    </w:p>
    <w:p>
      <w:pPr>
        <w:spacing w:after="100" w:before="0" w:line="276"/>
      </w:pPr>
      <w:r>
        <w:rPr>
          <w:b/>
          <w:bCs/>
          <w:color w:val="2E75B6"/>
          <w:sz w:val="22"/>
          <w:szCs w:val="22"/>
        </w:rPr>
        <w:t xml:space="preserve">How it’s delivered · the method — </w:t>
      </w:r>
      <w:r>
        <w:rPr>
          <w:sz w:val="22"/>
          <w:szCs w:val="22"/>
        </w:rPr>
        <w:t xml:space="preserve">Six phases: Discovery → Scope → Solution → Build → Validation → Live. Written sign-off at each. A human approves — not full autopilot.</w:t>
      </w:r>
    </w:p>
    <w:p>
      <w:pPr>
        <w:pStyle w:val="Heading2"/>
        <w:pBdr>
          <w:bottom w:val="single" w:color="2E75B6" w:sz="6" w:space="4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2. The primitive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1520"/>
        <w:gridCol w:w="356"/>
        <w:gridCol w:w="1520"/>
        <w:gridCol w:w="356"/>
        <w:gridCol w:w="1520"/>
        <w:gridCol w:w="356"/>
        <w:gridCol w:w="1520"/>
        <w:gridCol w:w="356"/>
        <w:gridCol w:w="1522"/>
      </w:tblGrid>
      <w:tr>
        <w:tc>
          <w:tcPr>
            <w:tcW w:w="1520" w:type="dxa"/>
            <w:shd w:val="clear" w:color="auto" w:fill="0E284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w="35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B6770"/>
                <w:sz w:val="22"/>
                <w:szCs w:val="22"/>
              </w:rPr>
              <w:t xml:space="preserve">→</w:t>
            </w:r>
          </w:p>
        </w:tc>
        <w:tc>
          <w:tcPr>
            <w:tcW w:w="15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Capture</w:t>
            </w:r>
          </w:p>
        </w:tc>
        <w:tc>
          <w:tcPr>
            <w:tcW w:w="35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B6770"/>
                <w:sz w:val="22"/>
                <w:szCs w:val="22"/>
              </w:rPr>
              <w:t xml:space="preserve">→</w:t>
            </w:r>
          </w:p>
        </w:tc>
        <w:tc>
          <w:tcPr>
            <w:tcW w:w="152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Classify / Decide</w:t>
            </w:r>
          </w:p>
        </w:tc>
        <w:tc>
          <w:tcPr>
            <w:tcW w:w="35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B6770"/>
                <w:sz w:val="22"/>
                <w:szCs w:val="22"/>
              </w:rPr>
              <w:t xml:space="preserve">→</w:t>
            </w:r>
          </w:p>
        </w:tc>
        <w:tc>
          <w:tcPr>
            <w:tcW w:w="1520" w:type="dxa"/>
            <w:shd w:val="clear" w:color="auto" w:fill="DEEAF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Draft or act — held for a human</w:t>
            </w:r>
          </w:p>
        </w:tc>
        <w:tc>
          <w:tcPr>
            <w:tcW w:w="35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B6770"/>
                <w:sz w:val="22"/>
                <w:szCs w:val="22"/>
              </w:rPr>
              <w:t xml:space="preserve">→</w:t>
            </w:r>
          </w:p>
        </w:tc>
        <w:tc>
          <w:tcPr>
            <w:tcW w:w="152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Route · File · Log</w:t>
            </w:r>
          </w:p>
        </w:tc>
      </w:tr>
    </w:tbl>
    <w:p>
      <w:pPr>
        <w:spacing w:after="160" w:before="0" w:line="270"/>
      </w:pPr>
      <w:r>
        <w:rPr>
          <w:i/>
          <w:iCs/>
          <w:color w:val="888888"/>
          <w:sz w:val="20"/>
          <w:szCs w:val="20"/>
        </w:rPr>
        <w:t xml:space="preserve">Almost every solution is this shape. The only things that change between them are the dials below.</w:t>
      </w:r>
    </w:p>
    <w:p>
      <w:pPr>
        <w:pStyle w:val="Heading2"/>
        <w:pBdr>
          <w:bottom w:val="single" w:color="2E75B6" w:sz="6" w:space="4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3. The dials that set effort &amp;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Trigger — </w:t>
      </w:r>
      <w:r>
        <w:rPr>
          <w:sz w:val="22"/>
          <w:szCs w:val="22"/>
        </w:rPr>
        <w:t xml:space="preserve">inbound event · scheduled · threshold-monitored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Decision classes / branches — </w:t>
      </w:r>
      <w:r>
        <w:rPr>
          <w:sz w:val="22"/>
          <w:szCs w:val="22"/>
        </w:rPr>
        <w:t xml:space="preserve">none · one · several · multi-dimensional (e.g. language ×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Systems touched — </w:t>
      </w:r>
      <w:r>
        <w:rPr>
          <w:sz w:val="22"/>
          <w:szCs w:val="22"/>
        </w:rPr>
        <w:t xml:space="preserve">inbox · CRM · accounting · calendar · document store · data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Human gates — </w:t>
      </w:r>
      <w:r>
        <w:rPr>
          <w:sz w:val="22"/>
          <w:szCs w:val="22"/>
        </w:rPr>
        <w:t xml:space="preserve">drafted reply held for approval · internal notify · money / publish sign-off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Fan-out — </w:t>
      </w:r>
      <w:r>
        <w:rPr>
          <w:sz w:val="22"/>
          <w:szCs w:val="22"/>
        </w:rPr>
        <w:t xml:space="preserve">one input producing several drafts</w:t>
      </w:r>
    </w:p>
    <w:p>
      <w:pPr>
        <w:spacing w:after="60" w:before="120"/>
      </w:pPr>
      <w:r>
        <w:rPr>
          <w:b/>
          <w:bCs/>
          <w:color w:val="5B6770"/>
          <w:sz w:val="20"/>
          <w:szCs w:val="20"/>
        </w:rPr>
        <w:t xml:space="preserve">Complexity tiers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1900"/>
        <w:gridCol w:w="7126"/>
      </w:tblGrid>
      <w:tr>
        <w:tc>
          <w:tcPr>
            <w:tcW w:w="1900" w:type="dxa"/>
            <w:shd w:val="clear" w:color="auto" w:fill="EAF0F7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Base</w:t>
            </w:r>
          </w:p>
        </w:tc>
        <w:tc>
          <w:tcPr>
            <w:tcW w:w="712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capture, route, file/log; little or no branching.</w:t>
            </w:r>
          </w:p>
        </w:tc>
      </w:tr>
      <w:tr>
        <w:tc>
          <w:tcPr>
            <w:tcW w:w="1900" w:type="dxa"/>
            <w:shd w:val="clear" w:color="auto" w:fill="EAF0F7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Base + triage</w:t>
            </w:r>
          </w:p>
        </w:tc>
        <w:tc>
          <w:tcPr>
            <w:tcW w:w="712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classify into a few classes + a drafted reply held for review.</w:t>
            </w:r>
          </w:p>
        </w:tc>
      </w:tr>
      <w:tr>
        <w:tc>
          <w:tcPr>
            <w:tcW w:w="1900" w:type="dxa"/>
            <w:shd w:val="clear" w:color="auto" w:fill="EAF0F7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Multi-branch</w:t>
            </w:r>
          </w:p>
        </w:tc>
        <w:tc>
          <w:tcPr>
            <w:tcW w:w="712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several decision points or checks before routing.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4. Two things that are always true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DEEAF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Approve-before-send — </w:t>
            </w:r>
            <w:r>
              <w:rPr>
                <w:sz w:val="20"/>
                <w:szCs w:val="20"/>
              </w:rPr>
              <w:t xml:space="preserve">the human stays in control. That’s the product, not a caveat — and usually the reassurance that closes the trust gap.</w:t>
            </w:r>
          </w:p>
        </w:tc>
      </w:tr>
      <w:tr>
        <w:tc>
          <w:tcPr>
            <w:tcW w:w="9026" w:type="dxa"/>
            <w:shd w:val="clear" w:color="auto" w:fill="DEEAF6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Everything ends in a log / file / index — </w:t>
            </w:r>
            <w:r>
              <w:rPr>
                <w:sz w:val="20"/>
                <w:szCs w:val="20"/>
              </w:rPr>
              <w:t xml:space="preserve">quiet auditability by default, which sits well with Swiss/EU record-keeping habits.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5. Using this in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Place the problem on the map, then sketch the primitive back to the client in their own words — fast, visible alignment.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Walk the five dials out loud; each answer is a scoping fact, not a guess (use the Scoping Worksheet).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Point at the human gate explicitly — it’s where “assistant, not autopilot” becomes concrete.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a request doesn’t fit the shape — autonomous, real-time, heavy data science, or a big one-off migration — say so early.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8"/>
        <w:szCs w:val="18"/>
      </w:rPr>
      <w:t xml:space="preserve">VortexDeep — Discovery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2026-06-28T18:12:11.535Z</dcterms:created>
  <dcterms:modified xsi:type="dcterms:W3CDTF">2026-06-28T18:12:11.535Z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