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rPr>
          <w:b/>
          <w:bCs/>
          <w:color w:val="2E75B6"/>
          <w:sz w:val="36"/>
          <w:szCs w:val="36"/>
        </w:rPr>
        <w:t xml:space="preserve">Process Integration Note</w:t>
      </w:r>
    </w:p>
    <w:p>
      <w:pPr>
        <w:spacing w:after="200" w:before="0"/>
      </w:pPr>
      <w:r>
        <w:rPr>
          <w:i/>
          <w:iCs/>
          <w:color w:val="5B6770"/>
          <w:sz w:val="22"/>
          <w:szCs w:val="22"/>
        </w:rPr>
        <w:t xml:space="preserve">How the expanded Problems-We-Solve catalogue and its discovery assets wire into the AI-Automation PM framework — the spine, one canonical taxonomy, where each asset belongs, and the exact edits to make.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Document: </w:t>
      </w:r>
      <w:r>
        <w:rPr>
          <w:sz w:val="22"/>
          <w:szCs w:val="22"/>
        </w:rPr>
        <w:t xml:space="preserve">Internal integration &amp; reconciliation note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Reads with: </w:t>
      </w:r>
      <w:r>
        <w:rPr>
          <w:sz w:val="22"/>
          <w:szCs w:val="22"/>
        </w:rPr>
        <w:t xml:space="preserve">Phase 0 Master Overview Index · Pricing Calculator · Phase 1 Discovery · Phase 2 Scope</w:t>
      </w:r>
    </w:p>
    <w:p>
      <w:pPr>
        <w:spacing w:after="40" w:before="0"/>
      </w:pPr>
      <w:r>
        <w:rPr>
          <w:b/>
          <w:bCs/>
          <w:color w:val="5B6770"/>
          <w:sz w:val="22"/>
          <w:szCs w:val="22"/>
        </w:rPr>
        <w:t xml:space="preserve">Version: </w:t>
      </w:r>
      <w:r>
        <w:rPr>
          <w:sz w:val="22"/>
          <w:szCs w:val="22"/>
        </w:rPr>
        <w:t xml:space="preserve">v01</w:t>
      </w:r>
    </w:p>
    <w:p>
      <w:pPr>
        <w:pStyle w:val="Heading2"/>
        <w:pBdr>
          <w:bottom w:val="single" w:color="2E75B6" w:sz="6" w:space="4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1. The spine is already documented</w:t>
      </w:r>
    </w:p>
    <w:p>
      <w:pPr>
        <w:spacing w:after="90" w:before="0" w:line="276"/>
      </w:pPr>
      <w:r>
        <w:rPr>
          <w:sz w:val="22"/>
          <w:szCs w:val="22"/>
        </w:rPr>
        <w:t xml:space="preserve">The framework already defines the exact sequence we described. Phase 0's Phase Cycle Overview and Handoff Map run: Pre-engagement Fit-Check → Phase 1 Discovery → Phase 2 Scope/MVP → Phase 3 Blueprint → Phase 4 Build → Phase 5 Testing → Phase 6 Go-live/Managed → Phase 7 Client Comms, with Decision Log, Risk Register, Pricing and Workflows running throughout. “Do not promise a solution too early” is written into Phase 1; “prevent scope creep” into Phase 2. Nothing about the sequence needs inventing — only the new assets need wiring in.</w:t>
      </w:r>
    </w:p>
    <w:p>
      <w:pPr>
        <w:spacing w:after="40" w:before="0" w:line="276"/>
      </w:pPr>
      <w:r>
        <w:rPr>
          <w:sz w:val="22"/>
          <w:szCs w:val="22"/>
        </w:rPr>
        <w:t xml:space="preserve">The rule to remember: discovery collects and places; it never designs or commits. Fit-Check is the gate that keeps out-of-shape work out; Phase 2 is where commitment happens.</w:t>
      </w:r>
    </w:p>
    <w:p>
      <w:pPr>
        <w:pStyle w:val="Heading2"/>
        <w:pBdr>
          <w:bottom w:val="single" w:color="2E75B6" w:sz="6" w:space="4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2. Where each new asset belongs</w:t>
      </w:r>
    </w:p>
    <w:tbl>
      <w:tblPr>
        <w:tblW w:w="9026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</w:tblPr>
      <w:tblGrid>
        <w:gridCol w:w="2450"/>
        <w:gridCol w:w="3150"/>
        <w:gridCol w:w="2100"/>
        <w:gridCol w:w="1326"/>
      </w:tblGrid>
      <w:tr>
        <w:tc>
          <w:tcPr>
            <w:tcW w:w="2450" w:type="dxa"/>
            <w:shd w:val="clear" w:color="auto" w:fill="2E75B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w="3150" w:type="dxa"/>
            <w:shd w:val="clear" w:color="auto" w:fill="2E75B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Framework role</w:t>
            </w:r>
          </w:p>
        </w:tc>
        <w:tc>
          <w:tcPr>
            <w:tcW w:w="2100" w:type="dxa"/>
            <w:shd w:val="clear" w:color="auto" w:fill="2E75B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 / when</w:t>
            </w:r>
          </w:p>
        </w:tc>
        <w:tc>
          <w:tcPr>
            <w:tcW w:w="1326" w:type="dxa"/>
            <w:shd w:val="clear" w:color="auto" w:fill="2E75B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w="24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Pattern Catalogue</w:t>
            </w:r>
          </w:p>
        </w:tc>
        <w:tc>
          <w:tcPr>
            <w:tcW w:w="31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Fulfils the planned “Automation Category Reference”</w:t>
            </w:r>
          </w:p>
        </w:tc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Phase 1–2 + reference</w:t>
            </w:r>
          </w:p>
        </w:tc>
        <w:tc>
          <w:tcPr>
            <w:tcW w:w="1326" w:type="dxa"/>
            <w:shd w:val="clear" w:color="auto" w:fill="E7F3E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Built — flip To Build → In Use</w:t>
            </w:r>
          </w:p>
        </w:tc>
      </w:tr>
      <w:tr>
        <w:tc>
          <w:tcPr>
            <w:tcW w:w="24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Discovery Reference</w:t>
            </w:r>
          </w:p>
        </w:tc>
        <w:tc>
          <w:tcPr>
            <w:tcW w:w="31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PM aid during the Interview Script</w:t>
            </w:r>
          </w:p>
        </w:tc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Phase 1 (in the room)</w:t>
            </w:r>
          </w:p>
        </w:tc>
        <w:tc>
          <w:tcPr>
            <w:tcW w:w="13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New — add to index</w:t>
            </w:r>
          </w:p>
        </w:tc>
      </w:tr>
      <w:tr>
        <w:tc>
          <w:tcPr>
            <w:tcW w:w="24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Scoping Worksheet</w:t>
            </w:r>
          </w:p>
        </w:tc>
        <w:tc>
          <w:tcPr>
            <w:tcW w:w="31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Per-process capture; feeds Quick Diagnostic + pricing adders</w:t>
            </w:r>
          </w:p>
        </w:tc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Phase 1 → Pricing</w:t>
            </w:r>
          </w:p>
        </w:tc>
        <w:tc>
          <w:tcPr>
            <w:tcW w:w="13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New — add to index</w:t>
            </w:r>
          </w:p>
        </w:tc>
      </w:tr>
      <w:tr>
        <w:tc>
          <w:tcPr>
            <w:tcW w:w="24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Flow diagrams (SVG/PNG + flows PDF)</w:t>
            </w:r>
          </w:p>
        </w:tc>
        <w:tc>
          <w:tcPr>
            <w:tcW w:w="31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Design reference (Workflows Library companion) + discovery visual</w:t>
            </w:r>
          </w:p>
        </w:tc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Phase 1 &amp; 3</w:t>
            </w:r>
          </w:p>
        </w:tc>
        <w:tc>
          <w:tcPr>
            <w:tcW w:w="132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New — add to index</w:t>
            </w:r>
          </w:p>
        </w:tc>
      </w:tr>
      <w:tr>
        <w:tc>
          <w:tcPr>
            <w:tcW w:w="24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Taxonomy reconciliation</w:t>
            </w:r>
          </w:p>
        </w:tc>
        <w:tc>
          <w:tcPr>
            <w:tcW w:w="31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Canonical 4×19 map</w:t>
            </w:r>
          </w:p>
        </w:tc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Phase 0 reference</w:t>
            </w:r>
          </w:p>
        </w:tc>
        <w:tc>
          <w:tcPr>
            <w:tcW w:w="1326" w:type="dxa"/>
            <w:shd w:val="clear" w:color="auto" w:fill="FBE9E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Draft → finalise to 19</w:t>
            </w:r>
          </w:p>
        </w:tc>
      </w:tr>
    </w:tbl>
    <w:p>
      <w:pPr>
        <w:pStyle w:val="Heading2"/>
        <w:pBdr>
          <w:bottom w:val="single" w:color="2E75B6" w:sz="6" w:space="4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3. One canonical taxonomy (fixes the 6 / 10 / 19 split)</w:t>
      </w:r>
    </w:p>
    <w:p>
      <w:pPr>
        <w:spacing w:after="90" w:before="0" w:line="276"/>
      </w:pPr>
      <w:r>
        <w:rPr>
          <w:sz w:val="22"/>
          <w:szCs w:val="22"/>
        </w:rPr>
        <w:t xml:space="preserve">Three counts exist today: the Fit-Check / reconciliation diagram shows 6 areas; Phase 1's Quick Diagnostic Q0 lists 10 automation types; the site now has 19 sub-processes. Adopt one canonical map — 4 groups × 19 sub-processes (the catalogue) — and treat the 6 and 10 as legacy views that roll up into it. The original 10 are unchanged; the 9 additions are new. Keep the mapping so historical pricing examples still line up.</w:t>
      </w:r>
    </w:p>
    <w:tbl>
      <w:tblPr>
        <w:tblW w:w="9026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</w:tblPr>
      <w:tblGrid>
        <w:gridCol w:w="2260"/>
        <w:gridCol w:w="6766"/>
      </w:tblGrid>
      <w:tr>
        <w:tc>
          <w:tcPr>
            <w:tcW w:w="2260" w:type="dxa"/>
            <w:shd w:val="clear" w:color="auto" w:fill="2E75B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w="6766" w:type="dxa"/>
            <w:shd w:val="clear" w:color="auto" w:fill="2E75B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Sub-processes (canonical 19; * = new)</w:t>
            </w:r>
          </w:p>
        </w:tc>
      </w:tr>
      <w:tr>
        <w:tc>
          <w:tcPr>
            <w:tcW w:w="22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Communication &amp; Customers</w:t>
            </w:r>
          </w:p>
        </w:tc>
        <w:tc>
          <w:tcPr>
            <w:tcW w:w="676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Communication &amp; Intake · Customer Support · Scheduling &amp; Booking · Feedback &amp; Reviews *</w:t>
            </w:r>
          </w:p>
        </w:tc>
      </w:tr>
      <w:tr>
        <w:tc>
          <w:tcPr>
            <w:tcW w:w="22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Sales &amp; Growth</w:t>
            </w:r>
          </w:p>
        </w:tc>
        <w:tc>
          <w:tcPr>
            <w:tcW w:w="676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Lead &amp; Sales Pipeline · Content &amp; Marketing · E-commerce &amp; Fulfilment · Quotes &amp; Proposals * · Renewals &amp; Retention *</w:t>
            </w:r>
          </w:p>
        </w:tc>
      </w:tr>
      <w:tr>
        <w:tc>
          <w:tcPr>
            <w:tcW w:w="22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Documents &amp; Finance</w:t>
            </w:r>
          </w:p>
        </w:tc>
        <w:tc>
          <w:tcPr>
            <w:tcW w:w="676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Document &amp; Data Processing · Finance &amp; Admin · Contracts &amp; Agreements * · Procurement &amp; Suppliers * · Compliance &amp; Filing *</w:t>
            </w:r>
          </w:p>
        </w:tc>
      </w:tr>
      <w:tr>
        <w:tc>
          <w:tcPr>
            <w:tcW w:w="22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Operations &amp; Insight</w:t>
            </w:r>
          </w:p>
        </w:tc>
        <w:tc>
          <w:tcPr>
            <w:tcW w:w="676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Internal Operations · Reporting &amp; Analytics · People &amp; Hiring * · Quality &amp; Process Monitoring * · Knowledge &amp; SOPs *</w:t>
            </w:r>
          </w:p>
        </w:tc>
      </w:tr>
    </w:tbl>
    <w:p>
      <w:pPr>
        <w:spacing w:after="120" w:before="40"/>
      </w:pPr>
      <w:r>
        <w:rPr>
          <w:i/>
          <w:iCs/>
          <w:color w:val="888888"/>
          <w:sz w:val="20"/>
          <w:szCs w:val="20"/>
        </w:rPr>
        <w:t xml:space="preserve">The original 10 (Quick Diagnostic Q0) = the ten non-starred items above. Fit-Check's 6 areas each collapse one or more of these; expand them to the 19 (or keep 6 as a coarse pre-screen that maps to the 19).</w:t>
      </w:r>
    </w:p>
    <w:p>
      <w:pPr>
        <w:pStyle w:val="Heading2"/>
        <w:pBdr>
          <w:bottom w:val="single" w:color="2E75B6" w:sz="6" w:space="4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4. Pricing &amp; boundary: the vocabulary already matches</w:t>
      </w:r>
    </w:p>
    <w:p>
      <w:pPr>
        <w:spacing w:after="90" w:before="0" w:line="276"/>
      </w:pPr>
      <w:r>
        <w:rPr>
          <w:sz w:val="22"/>
          <w:szCs w:val="22"/>
        </w:rPr>
        <w:t xml:space="preserve">No formula changes are required. The scoping worksheet is the front-end for the calculator; our tiers are the packages; our scope boundary is the Phase 2 boundary. Record these mappings:</w:t>
      </w:r>
    </w:p>
    <w:tbl>
      <w:tblPr>
        <w:tblW w:w="9026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</w:tblPr>
      <w:tblGrid>
        <w:gridCol w:w="3010"/>
        <w:gridCol w:w="6016"/>
      </w:tblGrid>
      <w:tr>
        <w:tc>
          <w:tcPr>
            <w:tcW w:w="3010" w:type="dxa"/>
            <w:shd w:val="clear" w:color="auto" w:fill="2E75B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Catalogue tier</w:t>
            </w:r>
          </w:p>
        </w:tc>
        <w:tc>
          <w:tcPr>
            <w:tcW w:w="6016" w:type="dxa"/>
            <w:shd w:val="clear" w:color="auto" w:fill="2E75B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Framework package</w:t>
            </w:r>
          </w:p>
        </w:tc>
      </w:tr>
      <w:tr>
        <w:tc>
          <w:tcPr>
            <w:tcW w:w="301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Base</w:t>
            </w:r>
          </w:p>
        </w:tc>
        <w:tc>
          <w:tcPr>
            <w:tcW w:w="601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Basic — rule-based intake, capture/route/file, low risk</w:t>
            </w:r>
          </w:p>
        </w:tc>
      </w:tr>
      <w:tr>
        <w:tc>
          <w:tcPr>
            <w:tcW w:w="301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Base + triage</w:t>
            </w:r>
          </w:p>
        </w:tc>
        <w:tc>
          <w:tcPr>
            <w:tcW w:w="601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 — AI classification + drafted reply + human approval queue</w:t>
            </w:r>
          </w:p>
        </w:tc>
      </w:tr>
      <w:tr>
        <w:tc>
          <w:tcPr>
            <w:tcW w:w="301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Multi-branch</w:t>
            </w:r>
          </w:p>
        </w:tc>
        <w:tc>
          <w:tcPr>
            <w:tcW w:w="601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 / Managed — several checks; monitoring/reporting → Managed</w:t>
            </w:r>
          </w:p>
        </w:tc>
      </w:tr>
      <w:tr>
        <w:tc>
          <w:tcPr>
            <w:tcW w:w="301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(beyond our shape)</w:t>
            </w:r>
          </w:p>
        </w:tc>
        <w:tc>
          <w:tcPr>
            <w:tcW w:w="601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Agentic — autonomous multi-step; our guardrail rules most of this out</w:t>
            </w:r>
          </w:p>
        </w:tc>
      </w:tr>
    </w:tbl>
    <w:p>
      <w:pPr>
        <w:spacing w:after="100" w:before="20"/>
      </w:pPr>
      <w:r>
        <w:rPr>
          <w:i/>
          <w:iCs/>
          <w:color w:val="888888"/>
          <w:sz w:val="18"/>
          <w:szCs w:val="18"/>
        </w:rPr>
        <w:t xml:space="preserve">Tiers ↔ packages</w:t>
      </w:r>
    </w:p>
    <w:tbl>
      <w:tblPr>
        <w:tblW w:w="9026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  <w:insideH w:val="single" w:sz="4" w:space="0" w:color="C9D2DD"/>
          <w:insideV w:val="single" w:sz="4" w:space="0" w:color="C9D2DD"/>
        </w:tblBorders>
        <w:tblLayout w:type="fixed"/>
      </w:tblPr>
      <w:tblGrid>
        <w:gridCol w:w="3010"/>
        <w:gridCol w:w="6016"/>
      </w:tblGrid>
      <w:tr>
        <w:tc>
          <w:tcPr>
            <w:tcW w:w="3010" w:type="dxa"/>
            <w:shd w:val="clear" w:color="auto" w:fill="2E75B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Worksheet dial</w:t>
            </w:r>
          </w:p>
        </w:tc>
        <w:tc>
          <w:tcPr>
            <w:tcW w:w="6016" w:type="dxa"/>
            <w:shd w:val="clear" w:color="auto" w:fill="2E75B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Complexity Reference adder</w:t>
            </w:r>
          </w:p>
        </w:tc>
      </w:tr>
      <w:tr>
        <w:tc>
          <w:tcPr>
            <w:tcW w:w="301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Trigger / channels</w:t>
            </w:r>
          </w:p>
        </w:tc>
        <w:tc>
          <w:tcPr>
            <w:tcW w:w="601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Extra data sources / triggers (per source)</w:t>
            </w:r>
          </w:p>
        </w:tc>
      </w:tr>
      <w:tr>
        <w:tc>
          <w:tcPr>
            <w:tcW w:w="301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Draft or act (per output type)</w:t>
            </w:r>
          </w:p>
        </w:tc>
        <w:tc>
          <w:tcPr>
            <w:tcW w:w="601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AI generation steps (per generation type)</w:t>
            </w:r>
          </w:p>
        </w:tc>
      </w:tr>
      <w:tr>
        <w:tc>
          <w:tcPr>
            <w:tcW w:w="301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Systems touched (CRM, etc.)</w:t>
            </w:r>
          </w:p>
        </w:tc>
        <w:tc>
          <w:tcPr>
            <w:tcW w:w="601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CRM integration (per CRM)</w:t>
            </w:r>
          </w:p>
        </w:tc>
      </w:tr>
      <w:tr>
        <w:tc>
          <w:tcPr>
            <w:tcW w:w="301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Human gates</w:t>
            </w:r>
          </w:p>
        </w:tc>
        <w:tc>
          <w:tcPr>
            <w:tcW w:w="601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Approval workflow (per approval path)</w:t>
            </w:r>
          </w:p>
        </w:tc>
      </w:tr>
      <w:tr>
        <w:tc>
          <w:tcPr>
            <w:tcW w:w="301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Reporting</w:t>
            </w:r>
          </w:p>
        </w:tc>
        <w:tc>
          <w:tcPr>
            <w:tcW w:w="601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Reporting layer (yes/no)</w:t>
            </w:r>
          </w:p>
        </w:tc>
      </w:tr>
      <w:tr>
        <w:tc>
          <w:tcPr>
            <w:tcW w:w="301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Sensitivity (Fit-Check Q5 / Diag Q3)</w:t>
            </w:r>
          </w:p>
        </w:tc>
        <w:tc>
          <w:tcPr>
            <w:tcW w:w="601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Sensitive data (×1.3–×1.7 multiplier)</w:t>
            </w:r>
          </w:p>
        </w:tc>
      </w:tr>
    </w:tbl>
    <w:p>
      <w:pPr>
        <w:spacing w:after="100" w:before="20"/>
      </w:pPr>
      <w:r>
        <w:rPr>
          <w:i/>
          <w:iCs/>
          <w:color w:val="888888"/>
          <w:sz w:val="18"/>
          <w:szCs w:val="18"/>
        </w:rPr>
        <w:t xml:space="preserve">Dials ↔ complexity adders</w:t>
      </w:r>
    </w:p>
    <w:tbl>
      <w:tblPr>
        <w:tblW w:w="9026" w:type="dxa"/>
        <w:tblBorders>
          <w:top w:val="single" w:sz="4" w:space="0" w:color="C9D2DD"/>
          <w:left w:val="single" w:sz="4" w:space="0" w:color="C9D2DD"/>
          <w:bottom w:val="single" w:sz="4" w:space="0" w:color="C9D2DD"/>
          <w:right w:val="single" w:sz="4" w:space="0" w:color="C9D2DD"/>
        </w:tblBorders>
        <w:tblLayout w:type="fixed"/>
      </w:tblPr>
      <w:tblGrid>
        <w:gridCol w:w="9026"/>
      </w:tblGrid>
      <w:tr>
        <w:tc>
          <w:tcPr>
            <w:tcW w:w="9026" w:type="dxa"/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Scope boundary ↔ Automation Boundary. </w:t>
            </w:r>
            <w:r>
              <w:rPr>
                <w:sz w:val="20"/>
                <w:szCs w:val="20"/>
              </w:rPr>
              <w:t xml:space="preserve">Each catalogue pattern's Scope boundary (VD automates X · stays human Y) is the default template for Phase 2's existing Automation Boundary matrix (AI may classify / summarise / draft / send / update CRM + approval rule). Same concept: the catalogue is the generic default, Phase 2 is the per-client instance. Seed Phase 2 from the catalogue.</w:t>
            </w:r>
          </w:p>
        </w:tc>
      </w:tr>
    </w:tbl>
    <w:p>
      <w:pPr>
        <w:spacing w:after="120" w:before="0"/>
      </w:pPr>
      <w:r>
        <w:rPr>
          <w:sz w:val="4"/>
          <w:szCs w:val="4"/>
        </w:rPr>
        <w:t xml:space="preserve"/>
      </w:r>
    </w:p>
    <w:p>
      <w:pPr>
        <w:pStyle w:val="Heading2"/>
        <w:pBdr>
          <w:bottom w:val="single" w:color="2E75B6" w:sz="6" w:space="4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5. Change-list — what to edit, where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Phase 0 File Index: flip “Automation_Category_Reference” from To Build → In Use and point it at vd-pattern-catalogue (docx/pdf, now 4 groups / 19 sub-processes, not xlsx). Add rows for Discovery Reference, Scoping Worksheet, and the Pattern Flow Diagrams PDF.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Phase 0 File Index: correct stale versions — Phase 1 shows v5 (actual v6), Phase 2 v2 (actual v3), Pricing v6 (actual v10). Align the index to the real filenames.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Phase 1 Quick Diagnostic (Q0 list) and Automation Methods: extend the 10 types to the 19 — add Feedback &amp; Reviews, Quotes &amp; Proposals, Contracts &amp; Agreements, Renewals &amp; Retention, Procurement &amp; Suppliers, Compliance &amp; Filing, People &amp; Hiring, Quality &amp; Process Monitoring, Knowledge &amp; SOPs.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Fit-Check &amp; the reconciliation diagram: replace the 6-area / 10-category language with the canonical 4 groups / 19 sub-processes; keep the roll-up mapping.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Pricing Calculator: no formula change. Optionally add the 9 new sub-processes to Example Quotes and tag each catalogue entry with its package (per section 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Phase 2: note that the catalogue Scope boundary seeds the Automation Boundary defaults for each pattern.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_VDAIA_Processes folder: remove temp/junk (~$-discovery-reference_v2.docx lock, vortexdeep-flows copy.pdf, vortexdeep-flows_temp.pdf); keep the canonical set; add the README (provided alongside this note).</w:t>
      </w:r>
    </w:p>
    <w:p>
      <w:pPr>
        <w:pStyle w:val="Heading2"/>
        <w:pBdr>
          <w:bottom w:val="single" w:color="2E75B6" w:sz="6" w:space="4"/>
        </w:pBdr>
        <w:spacing w:after="120" w:before="300"/>
      </w:pPr>
      <w:r>
        <w:rPr>
          <w:b/>
          <w:bCs/>
          <w:color w:val="2E75B6"/>
          <w:sz w:val="26"/>
          <w:szCs w:val="26"/>
        </w:rPr>
        <w:t xml:space="preserve">6. Discovery day — what to open (grounded in the framework)</w:t>
      </w:r>
    </w:p>
    <w:p>
      <w:pPr>
        <w:spacing w:after="40" w:before="0" w:line="276"/>
      </w:pPr>
      <w:r>
        <w:rPr>
          <w:sz w:val="22"/>
          <w:szCs w:val="22"/>
        </w:rPr>
        <w:t xml:space="preserve">Before the call: Fit-Check passes (gate). In the room: open the Discovery Reference (your aid) and the Interview Script; capture each candidate process on a Scoping Worksheet; confirm the group/sub-process against the Pattern Catalogue; mark the scope boundary out loud. After the call: the worksheet dials roll into the Quick Diagnostic and the Pricing Calculator; the Discovery Summary is written for the client; Phase 2 locks scope using the In/Out and Automation Boundary sheets. Per-project direction lives in the Quick Diagnostic; per-process detail lives on the worksheets that feed it.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8"/>
        <w:szCs w:val="18"/>
      </w:rPr>
      <w:t xml:space="preserve">Page </w:t>
    </w:r>
    <w:r>
      <w:rPr>
        <w:color w:val="5B67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770"/>
        <w:sz w:val="18"/>
        <w:szCs w:val="18"/>
      </w:rPr>
      <w:t xml:space="preserve"> of </w:t>
    </w:r>
    <w:r>
      <w:rPr>
        <w:color w:val="5B67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770"/>
        <w:sz w:val="18"/>
        <w:szCs w:val="18"/>
      </w:rPr>
      <w:t xml:space="preserve">VortexDeep — Process Integration Note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2026-06-28T18:12:11.535Z</dcterms:created>
  <dcterms:modified xsi:type="dcterms:W3CDTF">2026-06-28T18:12:11.535Z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