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Employee System Database</w:t>
      </w:r>
    </w:p>
    <w:p w:rsidR="00000000" w:rsidDel="00000000" w:rsidP="00000000" w:rsidRDefault="00000000" w:rsidRPr="00000000" w14:paraId="00000002">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Technical Manual</w:t>
      </w:r>
    </w:p>
    <w:p w:rsidR="00000000" w:rsidDel="00000000" w:rsidP="00000000" w:rsidRDefault="00000000" w:rsidRPr="00000000" w14:paraId="00000003">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Class: CPSC 488 Section 2</w:t>
      </w:r>
    </w:p>
    <w:p w:rsidR="00000000" w:rsidDel="00000000" w:rsidP="00000000" w:rsidRDefault="00000000" w:rsidRPr="00000000" w14:paraId="00000004">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02/26/2023</w:t>
      </w:r>
    </w:p>
    <w:p w:rsidR="00000000" w:rsidDel="00000000" w:rsidP="00000000" w:rsidRDefault="00000000" w:rsidRPr="00000000" w14:paraId="00000005">
      <w:pPr>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6">
      <w:pPr>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7">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Maya Smallwood </w:t>
      </w:r>
      <w:hyperlink r:id="rId6">
        <w:r w:rsidDel="00000000" w:rsidR="00000000" w:rsidRPr="00000000">
          <w:rPr>
            <w:rFonts w:ascii="Times New Roman" w:cs="Times New Roman" w:eastAsia="Times New Roman" w:hAnsi="Times New Roman"/>
            <w:color w:val="1155cc"/>
            <w:sz w:val="28"/>
            <w:szCs w:val="28"/>
            <w:u w:val="single"/>
            <w:rtl w:val="0"/>
          </w:rPr>
          <w:t xml:space="preserve">mns1013@sru.edu</w:t>
        </w:r>
      </w:hyperlink>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08">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Paul Schlabach </w:t>
      </w:r>
      <w:hyperlink r:id="rId7">
        <w:r w:rsidDel="00000000" w:rsidR="00000000" w:rsidRPr="00000000">
          <w:rPr>
            <w:rFonts w:ascii="Times New Roman" w:cs="Times New Roman" w:eastAsia="Times New Roman" w:hAnsi="Times New Roman"/>
            <w:color w:val="1155cc"/>
            <w:sz w:val="28"/>
            <w:szCs w:val="28"/>
            <w:u w:val="single"/>
            <w:rtl w:val="0"/>
          </w:rPr>
          <w:t xml:space="preserve">pms1006@sru.edu</w:t>
        </w:r>
      </w:hyperlink>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09">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Bradon Walters </w:t>
      </w:r>
      <w:hyperlink r:id="rId8">
        <w:r w:rsidDel="00000000" w:rsidR="00000000" w:rsidRPr="00000000">
          <w:rPr>
            <w:rFonts w:ascii="Times New Roman" w:cs="Times New Roman" w:eastAsia="Times New Roman" w:hAnsi="Times New Roman"/>
            <w:color w:val="1155cc"/>
            <w:sz w:val="28"/>
            <w:szCs w:val="28"/>
            <w:u w:val="single"/>
            <w:rtl w:val="0"/>
          </w:rPr>
          <w:t xml:space="preserve">bdw1006@sru.edu</w:t>
        </w:r>
      </w:hyperlink>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0A">
      <w:pPr>
        <w:jc w:val="cente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0B">
      <w:pPr>
        <w:pStyle w:val="Heading1"/>
        <w:rPr>
          <w:rFonts w:ascii="Times New Roman" w:cs="Times New Roman" w:eastAsia="Times New Roman" w:hAnsi="Times New Roman"/>
        </w:rPr>
      </w:pPr>
      <w:bookmarkStart w:colFirst="0" w:colLast="0" w:name="_denimhwcqgez" w:id="0"/>
      <w:bookmarkEnd w:id="0"/>
      <w:r w:rsidDel="00000000" w:rsidR="00000000" w:rsidRPr="00000000">
        <w:rPr>
          <w:rFonts w:ascii="Times New Roman" w:cs="Times New Roman" w:eastAsia="Times New Roman" w:hAnsi="Times New Roman"/>
          <w:rtl w:val="0"/>
        </w:rPr>
        <w:t xml:space="preserve">Contents</w:t>
      </w:r>
    </w:p>
    <w:sdt>
      <w:sdtPr>
        <w:docPartObj>
          <w:docPartGallery w:val="Table of Contents"/>
          <w:docPartUnique w:val="1"/>
        </w:docPartObj>
      </w:sdtPr>
      <w:sdtContent>
        <w:p w:rsidR="00000000" w:rsidDel="00000000" w:rsidP="00000000" w:rsidRDefault="00000000" w:rsidRPr="00000000" w14:paraId="0000000C">
          <w:pPr>
            <w:tabs>
              <w:tab w:val="right" w:leader="none" w:pos="936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e87ql4s3kayu">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Overview</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_e87ql4s3kayu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leader="none" w:pos="936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cmkk8uq0ldu">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UMLS</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_cmkk8uq0ldu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leader="none" w:pos="936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v8k56g9ialwq">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Classes</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_v8k56g9ialwq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leader="none" w:pos="936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t9eaf1p1c64c">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Resources</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_t9eaf1p1c64c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leader="none" w:pos="9360"/>
            </w:tabs>
            <w:spacing w:after="80"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1ebqtwf4gaq2">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Application Properties</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_1ebqtwf4gaq2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13">
      <w:pPr>
        <w:pStyle w:val="Heading1"/>
        <w:rPr>
          <w:rFonts w:ascii="Times New Roman" w:cs="Times New Roman" w:eastAsia="Times New Roman" w:hAnsi="Times New Roman"/>
        </w:rPr>
      </w:pPr>
      <w:bookmarkStart w:colFirst="0" w:colLast="0" w:name="_e87ql4s3kayu" w:id="1"/>
      <w:bookmarkEnd w:id="1"/>
      <w:r w:rsidDel="00000000" w:rsidR="00000000" w:rsidRPr="00000000">
        <w:rPr>
          <w:rFonts w:ascii="Times New Roman" w:cs="Times New Roman" w:eastAsia="Times New Roman" w:hAnsi="Times New Roman"/>
          <w:rtl w:val="0"/>
        </w:rPr>
        <w:t xml:space="preserve">Overview</w:t>
      </w:r>
    </w:p>
    <w:p w:rsidR="00000000" w:rsidDel="00000000" w:rsidP="00000000" w:rsidRDefault="00000000" w:rsidRPr="00000000" w14:paraId="00000014">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workspace is intended to act as an addition to an existing project or can be configured into something more; this workspace is made up of an employee system database that utilizes MySQL Workbench to manage employees while using Spring Boot Thymeleaf Model, View, and Controller (MVC) framework to develop the web applications. The program allows registration of new users, edit of users, and deletion of users. It also has authtrion for login based upon if the user’s role is Admin or an Employee taking the user to the apportice landing-page. It enforces the password policy using the Spring Framework Security of BcryptPasswordEncoder library. While also using Models that create entities and connections to MySQL. To use this program with their own projects, programmers should copy the classes, controllers format, models, and the securityconfig into their projects. The Users and UserRepository may need to be configured for your likely considering that is our main classes that work with our registration pages. </w:t>
      </w:r>
    </w:p>
    <w:p w:rsidR="00000000" w:rsidDel="00000000" w:rsidP="00000000" w:rsidRDefault="00000000" w:rsidRPr="00000000" w14:paraId="00000015">
      <w:pPr>
        <w:pStyle w:val="Heading1"/>
        <w:rPr>
          <w:rFonts w:ascii="Times New Roman" w:cs="Times New Roman" w:eastAsia="Times New Roman" w:hAnsi="Times New Roman"/>
          <w:sz w:val="24"/>
          <w:szCs w:val="24"/>
        </w:rPr>
      </w:pPr>
      <w:bookmarkStart w:colFirst="0" w:colLast="0" w:name="_cmkk8uq0ldu" w:id="2"/>
      <w:bookmarkEnd w:id="2"/>
      <w:r w:rsidDel="00000000" w:rsidR="00000000" w:rsidRPr="00000000">
        <w:rPr>
          <w:rFonts w:ascii="Times New Roman" w:cs="Times New Roman" w:eastAsia="Times New Roman" w:hAnsi="Times New Roman"/>
          <w:rtl w:val="0"/>
        </w:rPr>
        <w:t xml:space="preserve">UMLS</w:t>
      </w:r>
      <w:r w:rsidDel="00000000" w:rsidR="00000000" w:rsidRPr="00000000">
        <w:rPr>
          <w:rFonts w:ascii="Times New Roman" w:cs="Times New Roman" w:eastAsia="Times New Roman" w:hAnsi="Times New Roman"/>
          <w:sz w:val="24"/>
          <w:szCs w:val="24"/>
        </w:rPr>
        <w:drawing>
          <wp:inline distB="114300" distT="114300" distL="114300" distR="114300">
            <wp:extent cx="5805488" cy="6540477"/>
            <wp:effectExtent b="0" l="0" r="0" t="0"/>
            <wp:docPr id="7" name="image1.jpg"/>
            <a:graphic>
              <a:graphicData uri="http://schemas.openxmlformats.org/drawingml/2006/picture">
                <pic:pic>
                  <pic:nvPicPr>
                    <pic:cNvPr id="0" name="image1.jpg"/>
                    <pic:cNvPicPr preferRelativeResize="0"/>
                  </pic:nvPicPr>
                  <pic:blipFill>
                    <a:blip r:embed="rId9"/>
                    <a:srcRect b="0" l="0" r="0" t="0"/>
                    <a:stretch>
                      <a:fillRect/>
                    </a:stretch>
                  </pic:blipFill>
                  <pic:spPr>
                    <a:xfrm>
                      <a:off x="0" y="0"/>
                      <a:ext cx="5805488" cy="6540477"/>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Figure 1. Case Diagram for Admin Control</w:t>
      </w:r>
      <w:r w:rsidDel="00000000" w:rsidR="00000000" w:rsidRPr="00000000">
        <w:rPr>
          <w:rFonts w:ascii="Times New Roman" w:cs="Times New Roman" w:eastAsia="Times New Roman" w:hAnsi="Times New Roman"/>
          <w:sz w:val="24"/>
          <w:szCs w:val="24"/>
        </w:rPr>
        <w:drawing>
          <wp:inline distB="114300" distT="114300" distL="114300" distR="114300">
            <wp:extent cx="5757863" cy="7298829"/>
            <wp:effectExtent b="0" l="0" r="0" t="0"/>
            <wp:docPr id="8" name="image6.jpg"/>
            <a:graphic>
              <a:graphicData uri="http://schemas.openxmlformats.org/drawingml/2006/picture">
                <pic:pic>
                  <pic:nvPicPr>
                    <pic:cNvPr id="0" name="image6.jpg"/>
                    <pic:cNvPicPr preferRelativeResize="0"/>
                  </pic:nvPicPr>
                  <pic:blipFill>
                    <a:blip r:embed="rId10"/>
                    <a:srcRect b="0" l="0" r="0" t="0"/>
                    <a:stretch>
                      <a:fillRect/>
                    </a:stretch>
                  </pic:blipFill>
                  <pic:spPr>
                    <a:xfrm>
                      <a:off x="0" y="0"/>
                      <a:ext cx="5757863" cy="7298829"/>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Figure 2. Case Diagram for Employee Control</w:t>
      </w:r>
      <w:r w:rsidDel="00000000" w:rsidR="00000000" w:rsidRPr="00000000">
        <w:br w:type="page"/>
      </w:r>
      <w:r w:rsidDel="00000000" w:rsidR="00000000" w:rsidRPr="00000000">
        <w:rPr>
          <w:rtl w:val="0"/>
        </w:rPr>
      </w:r>
    </w:p>
    <w:p w:rsidR="00000000" w:rsidDel="00000000" w:rsidP="00000000" w:rsidRDefault="00000000" w:rsidRPr="00000000" w14:paraId="00000016">
      <w:pPr>
        <w:pStyle w:val="Heading1"/>
        <w:rPr>
          <w:rFonts w:ascii="Times New Roman" w:cs="Times New Roman" w:eastAsia="Times New Roman" w:hAnsi="Times New Roman"/>
        </w:rPr>
      </w:pPr>
      <w:bookmarkStart w:colFirst="0" w:colLast="0" w:name="_v8k56g9ialwq" w:id="3"/>
      <w:bookmarkEnd w:id="3"/>
      <w:r w:rsidDel="00000000" w:rsidR="00000000" w:rsidRPr="00000000">
        <w:rPr>
          <w:rFonts w:ascii="Times New Roman" w:cs="Times New Roman" w:eastAsia="Times New Roman" w:hAnsi="Times New Roman"/>
          <w:rtl w:val="0"/>
        </w:rPr>
        <w:t xml:space="preserve">Classes</w:t>
      </w:r>
    </w:p>
    <w:p w:rsidR="00000000" w:rsidDel="00000000" w:rsidP="00000000" w:rsidRDefault="00000000" w:rsidRPr="00000000" w14:paraId="00000017">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18">
      <w:pPr>
        <w:pStyle w:val="Heading1"/>
        <w:rPr>
          <w:rFonts w:ascii="Times New Roman" w:cs="Times New Roman" w:eastAsia="Times New Roman" w:hAnsi="Times New Roman"/>
        </w:rPr>
      </w:pPr>
      <w:bookmarkStart w:colFirst="0" w:colLast="0" w:name="_t9eaf1p1c64c" w:id="4"/>
      <w:bookmarkEnd w:id="4"/>
      <w:r w:rsidDel="00000000" w:rsidR="00000000" w:rsidRPr="00000000">
        <w:rPr>
          <w:rFonts w:ascii="Times New Roman" w:cs="Times New Roman" w:eastAsia="Times New Roman" w:hAnsi="Times New Roman"/>
          <w:rtl w:val="0"/>
        </w:rPr>
        <w:t xml:space="preserve">Resources</w:t>
      </w:r>
    </w:p>
    <w:p w:rsidR="00000000" w:rsidDel="00000000" w:rsidP="00000000" w:rsidRDefault="00000000" w:rsidRPr="00000000" w14:paraId="00000019">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1A">
      <w:pPr>
        <w:pStyle w:val="Heading1"/>
        <w:rPr>
          <w:rFonts w:ascii="Times New Roman" w:cs="Times New Roman" w:eastAsia="Times New Roman" w:hAnsi="Times New Roman"/>
        </w:rPr>
      </w:pPr>
      <w:bookmarkStart w:colFirst="0" w:colLast="0" w:name="_1ebqtwf4gaq2" w:id="5"/>
      <w:bookmarkEnd w:id="5"/>
      <w:r w:rsidDel="00000000" w:rsidR="00000000" w:rsidRPr="00000000">
        <w:rPr>
          <w:rFonts w:ascii="Times New Roman" w:cs="Times New Roman" w:eastAsia="Times New Roman" w:hAnsi="Times New Roman"/>
          <w:rtl w:val="0"/>
        </w:rPr>
        <w:t xml:space="preserve">Application Properties</w:t>
      </w:r>
    </w:p>
    <w:p w:rsidR="00000000" w:rsidDel="00000000" w:rsidP="00000000" w:rsidRDefault="00000000" w:rsidRPr="00000000" w14:paraId="0000001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spring.jpa.hibernate.ddl-auto</w:t>
      </w:r>
      <w:r w:rsidDel="00000000" w:rsidR="00000000" w:rsidRPr="00000000">
        <w:rPr>
          <w:rFonts w:ascii="Times New Roman" w:cs="Times New Roman" w:eastAsia="Times New Roman" w:hAnsi="Times New Roman"/>
          <w:sz w:val="24"/>
          <w:szCs w:val="24"/>
          <w:rtl w:val="0"/>
        </w:rPr>
        <w:t xml:space="preserve">=update</w:t>
      </w:r>
    </w:p>
    <w:p w:rsidR="00000000" w:rsidDel="00000000" w:rsidP="00000000" w:rsidRDefault="00000000" w:rsidRPr="00000000" w14:paraId="0000001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Used to embed a database and create a schema using the update attribute to update the connected Database every time a change is made and the program runs. </w:t>
      </w:r>
    </w:p>
    <w:p w:rsidR="00000000" w:rsidDel="00000000" w:rsidP="00000000" w:rsidRDefault="00000000" w:rsidRPr="00000000" w14:paraId="0000001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spring.datasource.url</w:t>
      </w:r>
      <w:r w:rsidDel="00000000" w:rsidR="00000000" w:rsidRPr="00000000">
        <w:rPr>
          <w:rFonts w:ascii="Times New Roman" w:cs="Times New Roman" w:eastAsia="Times New Roman" w:hAnsi="Times New Roman"/>
          <w:sz w:val="24"/>
          <w:szCs w:val="24"/>
          <w:rtl w:val="0"/>
        </w:rPr>
        <w:t xml:space="preserve">=jdbc:mysql://localhost:3306/demo?createDatabaseIfNotExist=true</w:t>
      </w:r>
    </w:p>
    <w:p w:rsidR="00000000" w:rsidDel="00000000" w:rsidP="00000000" w:rsidRDefault="00000000" w:rsidRPr="00000000" w14:paraId="0000002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URL or link to access the MySQL workbench database.  It is set to automatically create a schema rather than importing it from a SQL file.</w:t>
      </w:r>
    </w:p>
    <w:p w:rsidR="00000000" w:rsidDel="00000000" w:rsidP="00000000" w:rsidRDefault="00000000" w:rsidRPr="00000000" w14:paraId="0000002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spring.datasource.username</w:t>
      </w:r>
      <w:r w:rsidDel="00000000" w:rsidR="00000000" w:rsidRPr="00000000">
        <w:rPr>
          <w:rFonts w:ascii="Times New Roman" w:cs="Times New Roman" w:eastAsia="Times New Roman" w:hAnsi="Times New Roman"/>
          <w:sz w:val="24"/>
          <w:szCs w:val="24"/>
          <w:rtl w:val="0"/>
        </w:rPr>
        <w:t xml:space="preserve">=root</w:t>
      </w:r>
    </w:p>
    <w:p w:rsidR="00000000" w:rsidDel="00000000" w:rsidP="00000000" w:rsidRDefault="00000000" w:rsidRPr="00000000" w14:paraId="0000002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username that is authorized to the server to be accessed. </w:t>
      </w:r>
    </w:p>
    <w:p w:rsidR="00000000" w:rsidDel="00000000" w:rsidP="00000000" w:rsidRDefault="00000000" w:rsidRPr="00000000" w14:paraId="0000002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spring.datasource.password</w:t>
      </w:r>
      <w:r w:rsidDel="00000000" w:rsidR="00000000" w:rsidRPr="00000000">
        <w:rPr>
          <w:rFonts w:ascii="Times New Roman" w:cs="Times New Roman" w:eastAsia="Times New Roman" w:hAnsi="Times New Roman"/>
          <w:sz w:val="24"/>
          <w:szCs w:val="24"/>
          <w:rtl w:val="0"/>
        </w:rPr>
        <w:t xml:space="preserve">=GAzebo23\!!</w:t>
      </w:r>
    </w:p>
    <w:p w:rsidR="00000000" w:rsidDel="00000000" w:rsidP="00000000" w:rsidRDefault="00000000" w:rsidRPr="00000000" w14:paraId="0000002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password that is authorized to the server to be accessed. Will be required to be changed based upon the individual programmer’s password on that machine. </w:t>
      </w:r>
    </w:p>
    <w:p w:rsidR="00000000" w:rsidDel="00000000" w:rsidP="00000000" w:rsidRDefault="00000000" w:rsidRPr="00000000" w14:paraId="0000002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spring.jpa.properties.hibernate.format_sql</w:t>
      </w:r>
      <w:r w:rsidDel="00000000" w:rsidR="00000000" w:rsidRPr="00000000">
        <w:rPr>
          <w:rFonts w:ascii="Times New Roman" w:cs="Times New Roman" w:eastAsia="Times New Roman" w:hAnsi="Times New Roman"/>
          <w:sz w:val="24"/>
          <w:szCs w:val="24"/>
          <w:rtl w:val="0"/>
        </w:rPr>
        <w:t xml:space="preserve">=true</w:t>
      </w:r>
    </w:p>
    <w:p w:rsidR="00000000" w:rsidDel="00000000" w:rsidP="00000000" w:rsidRDefault="00000000" w:rsidRPr="00000000" w14:paraId="000000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spring.main.allow-bean-definition-overriding</w:t>
      </w:r>
      <w:r w:rsidDel="00000000" w:rsidR="00000000" w:rsidRPr="00000000">
        <w:rPr>
          <w:rFonts w:ascii="Times New Roman" w:cs="Times New Roman" w:eastAsia="Times New Roman" w:hAnsi="Times New Roman"/>
          <w:sz w:val="24"/>
          <w:szCs w:val="24"/>
          <w:rtl w:val="0"/>
        </w:rPr>
        <w:t xml:space="preserve">=true</w:t>
      </w:r>
    </w:p>
    <w:p w:rsidR="00000000" w:rsidDel="00000000" w:rsidP="00000000" w:rsidRDefault="00000000" w:rsidRPr="00000000" w14:paraId="0000002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Both of these allows an overriding of the @Bean tag names, an error that would occur from time to time.</w:t>
      </w:r>
    </w:p>
    <w:p w:rsidR="00000000" w:rsidDel="00000000" w:rsidP="00000000" w:rsidRDefault="00000000" w:rsidRPr="00000000" w14:paraId="0000002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spring.thymeleaf.cache</w:t>
      </w:r>
      <w:r w:rsidDel="00000000" w:rsidR="00000000" w:rsidRPr="00000000">
        <w:rPr>
          <w:rFonts w:ascii="Times New Roman" w:cs="Times New Roman" w:eastAsia="Times New Roman" w:hAnsi="Times New Roman"/>
          <w:sz w:val="24"/>
          <w:szCs w:val="24"/>
          <w:rtl w:val="0"/>
        </w:rPr>
        <w:t xml:space="preserve">=false</w:t>
      </w:r>
    </w:p>
    <w:p w:rsidR="00000000" w:rsidDel="00000000" w:rsidP="00000000" w:rsidRDefault="00000000" w:rsidRPr="00000000" w14:paraId="000000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spring.thymeleaf.prefix</w:t>
      </w:r>
      <w:r w:rsidDel="00000000" w:rsidR="00000000" w:rsidRPr="00000000">
        <w:rPr>
          <w:rFonts w:ascii="Times New Roman" w:cs="Times New Roman" w:eastAsia="Times New Roman" w:hAnsi="Times New Roman"/>
          <w:sz w:val="24"/>
          <w:szCs w:val="24"/>
          <w:rtl w:val="0"/>
        </w:rPr>
        <w:t xml:space="preserve">=classpath:templates/</w:t>
      </w:r>
    </w:p>
    <w:p w:rsidR="00000000" w:rsidDel="00000000" w:rsidP="00000000" w:rsidRDefault="00000000" w:rsidRPr="00000000" w14:paraId="0000002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Used to helped thymeleaf locate the HTML pages inside of templates, this is optional another fix is the following:</w:t>
      </w:r>
    </w:p>
    <w:p w:rsidR="00000000" w:rsidDel="00000000" w:rsidP="00000000" w:rsidRDefault="00000000" w:rsidRPr="00000000" w14:paraId="0000002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Right click on your main project and navigate to the following:</w:t>
      </w:r>
    </w:p>
    <w:p w:rsidR="00000000" w:rsidDel="00000000" w:rsidP="00000000" w:rsidRDefault="00000000" w:rsidRPr="00000000" w14:paraId="0000002F">
      <w:pPr>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Build Path → Configure Build Path…</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943600" cy="2146300"/>
            <wp:effectExtent b="0" l="0" r="0" t="0"/>
            <wp:docPr id="5"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21463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t xml:space="preserve">Figure 3. Thymeleaf Build Path</w:t>
      </w:r>
    </w:p>
    <w:p w:rsidR="00000000" w:rsidDel="00000000" w:rsidP="00000000" w:rsidRDefault="00000000" w:rsidRPr="00000000" w14:paraId="00000030">
      <w:pPr>
        <w:rPr>
          <w:rFonts w:ascii="Times New Roman" w:cs="Times New Roman" w:eastAsia="Times New Roman" w:hAnsi="Times New Roman"/>
        </w:rPr>
      </w:pPr>
      <w:r w:rsidDel="00000000" w:rsidR="00000000" w:rsidRPr="00000000">
        <w:rPr>
          <w:rFonts w:ascii="Cardo" w:cs="Cardo" w:eastAsia="Cardo" w:hAnsi="Cardo"/>
          <w:sz w:val="24"/>
          <w:szCs w:val="24"/>
          <w:rtl w:val="0"/>
        </w:rPr>
        <w:t xml:space="preserve">Tab over to Source → and then move down to “YourProject’sName/src/main/resources” → Double click “Excluded: **”</w:t>
      </w: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rPr>
        <w:drawing>
          <wp:inline distB="114300" distT="114300" distL="114300" distR="114300">
            <wp:extent cx="5214938" cy="3075476"/>
            <wp:effectExtent b="0" l="0" r="0" t="0"/>
            <wp:docPr id="2"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214938" cy="3075476"/>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Figure 4. Thymeleaf Build Path</w:t>
      </w:r>
      <w:r w:rsidDel="00000000" w:rsidR="00000000" w:rsidRPr="00000000">
        <w:br w:type="page"/>
      </w: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Next select Remove in the Exclusion Patterns Area”</w:t>
      </w:r>
    </w:p>
    <w:p w:rsidR="00000000" w:rsidDel="00000000" w:rsidP="00000000" w:rsidRDefault="00000000" w:rsidRPr="00000000" w14:paraId="0000003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then select Add Multiple… in the Inclusion Patterns Area:</w:t>
      </w:r>
    </w:p>
    <w:p w:rsidR="00000000" w:rsidDel="00000000" w:rsidP="00000000" w:rsidRDefault="00000000" w:rsidRPr="00000000" w14:paraId="00000034">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814763" cy="3904522"/>
            <wp:effectExtent b="0" l="0" r="0" t="0"/>
            <wp:docPr id="4"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3814763" cy="3904522"/>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Figure 5. Thymeleaf Build Path</w:t>
      </w:r>
      <w:r w:rsidDel="00000000" w:rsidR="00000000" w:rsidRPr="00000000">
        <w:br w:type="page"/>
      </w: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Do a Ctrl + A to select all the following files and then select OK</w:t>
      </w:r>
      <w:r w:rsidDel="00000000" w:rsidR="00000000" w:rsidRPr="00000000">
        <w:rPr>
          <w:rFonts w:ascii="Times New Roman" w:cs="Times New Roman" w:eastAsia="Times New Roman" w:hAnsi="Times New Roman"/>
        </w:rPr>
        <w:drawing>
          <wp:inline distB="114300" distT="114300" distL="114300" distR="114300">
            <wp:extent cx="3934088" cy="4620625"/>
            <wp:effectExtent b="0" l="0" r="0" t="0"/>
            <wp:docPr id="3"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3934088" cy="4620625"/>
                    </a:xfrm>
                    <a:prstGeom prst="rect"/>
                    <a:ln/>
                  </pic:spPr>
                </pic:pic>
              </a:graphicData>
            </a:graphic>
          </wp:inline>
        </w:drawing>
      </w: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sz w:val="24"/>
          <w:szCs w:val="24"/>
          <w:rtl w:val="0"/>
        </w:rPr>
        <w:t xml:space="preserve">Figure 6. Thymeleaf Build Path</w:t>
      </w: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Then select Finish</w:t>
        <w:br w:type="textWrapping"/>
      </w:r>
      <w:r w:rsidDel="00000000" w:rsidR="00000000" w:rsidRPr="00000000">
        <w:rPr>
          <w:rFonts w:ascii="Times New Roman" w:cs="Times New Roman" w:eastAsia="Times New Roman" w:hAnsi="Times New Roman"/>
        </w:rPr>
        <w:drawing>
          <wp:inline distB="114300" distT="114300" distL="114300" distR="114300">
            <wp:extent cx="3729038" cy="3772483"/>
            <wp:effectExtent b="0" l="0" r="0" t="0"/>
            <wp:docPr id="6"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3729038" cy="3772483"/>
                    </a:xfrm>
                    <a:prstGeom prst="rect"/>
                    <a:ln/>
                  </pic:spPr>
                </pic:pic>
              </a:graphicData>
            </a:graphic>
          </wp:inline>
        </w:drawing>
      </w: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sz w:val="24"/>
          <w:szCs w:val="24"/>
          <w:rtl w:val="0"/>
        </w:rPr>
        <w:t xml:space="preserve">Figure 7. Thymeleaf Build Path</w:t>
      </w:r>
      <w:r w:rsidDel="00000000" w:rsidR="00000000" w:rsidRPr="00000000">
        <w:br w:type="page"/>
      </w: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Apply and Close and then wait for your project to finish building and now Thymeleaf will stop giving errors of: </w:t>
      </w:r>
      <w:r w:rsidDel="00000000" w:rsidR="00000000" w:rsidRPr="00000000">
        <w:rPr>
          <w:rFonts w:ascii="Times New Roman" w:cs="Times New Roman" w:eastAsia="Times New Roman" w:hAnsi="Times New Roman"/>
          <w:i w:val="1"/>
          <w:rtl w:val="0"/>
        </w:rPr>
        <w:t xml:space="preserve">“</w:t>
      </w:r>
      <w:r w:rsidDel="00000000" w:rsidR="00000000" w:rsidRPr="00000000">
        <w:rPr>
          <w:rFonts w:ascii="Times New Roman" w:cs="Times New Roman" w:eastAsia="Times New Roman" w:hAnsi="Times New Roman"/>
          <w:i w:val="1"/>
          <w:color w:val="232629"/>
          <w:sz w:val="23"/>
          <w:szCs w:val="23"/>
          <w:highlight w:val="white"/>
          <w:rtl w:val="0"/>
        </w:rPr>
        <w:t xml:space="preserve">Cannot find template location: classpath:/templates/ (please add some templates or check your Thymeleaf configuration)”</w:t>
        <w:br w:type="textWrapping"/>
      </w:r>
      <w:r w:rsidDel="00000000" w:rsidR="00000000" w:rsidRPr="00000000">
        <w:rPr>
          <w:rFonts w:ascii="Cardo" w:cs="Cardo" w:eastAsia="Cardo" w:hAnsi="Cardo"/>
          <w:color w:val="232629"/>
          <w:sz w:val="23"/>
          <w:szCs w:val="23"/>
          <w:highlight w:val="white"/>
          <w:rtl w:val="0"/>
        </w:rPr>
        <w:t xml:space="preserve">*Note: You may have to redo this progress if you close and reopen the project, or if you do a Maven→Update Project*</w:t>
      </w: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091113" cy="3010610"/>
            <wp:effectExtent b="0" l="0" r="0" t="0"/>
            <wp:docPr id="1"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091113" cy="301061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Figure 8. Thymeleaf Build Path</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6.jpg"/><Relationship Id="rId13" Type="http://schemas.openxmlformats.org/officeDocument/2006/relationships/image" Target="media/image2.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jpg"/><Relationship Id="rId15" Type="http://schemas.openxmlformats.org/officeDocument/2006/relationships/image" Target="media/image4.png"/><Relationship Id="rId14" Type="http://schemas.openxmlformats.org/officeDocument/2006/relationships/image" Target="media/image7.png"/><Relationship Id="rId16" Type="http://schemas.openxmlformats.org/officeDocument/2006/relationships/image" Target="media/image3.png"/><Relationship Id="rId5" Type="http://schemas.openxmlformats.org/officeDocument/2006/relationships/styles" Target="styles.xml"/><Relationship Id="rId6" Type="http://schemas.openxmlformats.org/officeDocument/2006/relationships/hyperlink" Target="mailto:mns1013@sru.edu" TargetMode="External"/><Relationship Id="rId7" Type="http://schemas.openxmlformats.org/officeDocument/2006/relationships/hyperlink" Target="mailto:pms1006@sru.edu" TargetMode="External"/><Relationship Id="rId8" Type="http://schemas.openxmlformats.org/officeDocument/2006/relationships/hyperlink" Target="mailto:bdw1006@sru.edu"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