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— New Hire Onboarding Guide</w:t>
      </w:r>
    </w:p>
    <w:p>
      <w:pPr>
        <w:pStyle w:val="Heading1"/>
      </w:pPr>
      <w:r>
        <w:t>Day 1: Equipment &amp; Access</w:t>
      </w:r>
    </w:p>
    <w:p>
      <w:r>
        <w:t>All new employees receive a company-issued MacBook Pro (16GB RAM minimum, 32GB for Engineering) on their start date. Access to internal systems is provisioned through Okta within 4 business hours of HR completing the I-9 verification.</w:t>
      </w:r>
    </w:p>
    <w:p>
      <w:r>
        <w:t>Hardware that fails within the first 30 days is replaced same-day; after 30 days, the standard 5-business-day replacement SLA applies.</w:t>
      </w:r>
    </w:p>
    <w:p>
      <w:pPr>
        <w:pStyle w:val="Heading1"/>
      </w:pPr>
      <w:r>
        <w:t>Week 1: Required Training</w:t>
      </w:r>
    </w:p>
    <w:p>
      <w:r>
        <w:t>Every new hire must complete: Information Security Awareness (60 min), Anti-Harassment (45 min), and the relevant role-specific track (Engineering = Code of Conduct + Open Source Policy; Sales = Anti-Bribery + Data Privacy for Sales; etc.). Training must be completed within 14 days of start date or system access is revoked.</w:t>
      </w:r>
    </w:p>
    <w:p>
      <w:pPr>
        <w:pStyle w:val="Heading1"/>
      </w:pPr>
      <w:r>
        <w:t>PTO &amp; Holidays</w:t>
      </w:r>
    </w:p>
    <w:p>
      <w:r>
        <w:t>Acme observes a flexible PTO policy — there is no fixed accrual; managers approve based on team coverage. The minimum expected vacation is 15 business days per calendar year. Acme also closes for one full week between December 24 and January 1 — this week does not count against personal PTO.</w:t>
      </w:r>
    </w:p>
    <w:p>
      <w:pPr>
        <w:pStyle w:val="Heading1"/>
      </w:pPr>
      <w:r>
        <w:t>Probation</w:t>
      </w:r>
    </w:p>
    <w:p>
      <w:r>
        <w:t>All new hires are subject to a 90-day probationary period. During this window, performance is reviewed at 30, 60, and 90 days. Termination during probation does not require the standard performance improvement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