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Shares of A. Corp. pay a $2 dividend at the end of every year on December 31. An investor buys 2 shares of stock on January 1 at a price of $20 each, sells one of those shares for $22 a year later on the next January 1, and sells the second share an additional year later for $19. Find the </w:t>
      </w:r>
      <w:r w:rsidDel="00000000" w:rsidR="00000000" w:rsidRPr="00000000">
        <w:rPr>
          <w:b w:val="1"/>
          <w:bCs w:val="1"/>
          <w:rtl w:val="0"/>
        </w:rPr>
        <w:t xml:space="preserve">money-weighted return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time-weighted rates of return</w:t>
      </w:r>
      <w:r w:rsidDel="00000000" w:rsidR="00000000" w:rsidRPr="00000000">
        <w:rPr>
          <w:rtl w:val="0"/>
        </w:rPr>
        <w:t xml:space="preserve"> on this 2 year investment.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Internal Rate of Return (IRR)</w:t>
      </w:r>
      <w:r w:rsidDel="00000000" w:rsidR="00000000" w:rsidRPr="00000000">
        <w:rPr>
          <w:rtl w:val="0"/>
        </w:rPr>
        <w:t xml:space="preserve"> is the discount rate that makes the net present value of all cash flows from an investment equal to zero.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Money-Weighted Rate of Return (MWR)</w:t>
      </w:r>
      <w:r w:rsidDel="00000000" w:rsidR="00000000" w:rsidRPr="00000000">
        <w:rPr>
          <w:rtl w:val="0"/>
        </w:rPr>
        <w:t xml:space="preserve">: the internal rate of return that measures an investor’s actual performance by accounting for the timing and size of all cash flows.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Time-Weighted Rate of Return (TWR)</w:t>
      </w:r>
      <w:r w:rsidDel="00000000" w:rsidR="00000000" w:rsidRPr="00000000">
        <w:rPr>
          <w:rtl w:val="0"/>
        </w:rPr>
        <w:t xml:space="preserve">: the compound growth rate of an investment that measures the asset’s performance independent of investor cash-flow timing.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Dividend $2 a share paid each Dec 31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Buy 2 shares at $20 on Jan t = 0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Sell 1 share at $22 Jan t = 1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Sell 1 share at $19 Jan t =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Cash flow table (investors perspective)</w:t>
      </w:r>
    </w:p>
    <w:tbl>
      <w:tblPr>
        <w:tblStyle w:val="Table1"/>
        <w:tblW w:w="5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3200"/>
        <w:gridCol w:w="1250"/>
        <w:tblGridChange w:id="0">
          <w:tblGrid>
            <w:gridCol w:w="755"/>
            <w:gridCol w:w="3200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 =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Buy 2 shares @ $20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 =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Dividend on 2 shares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 =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Sell 1 share @ $22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+22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 =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Dividend on 1 remaining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 =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Sell last share @ $19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+19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CF₀ = –40</w:t>
        <w:br w:type="textWrapping"/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CF₁ = 4 + 22 = +26</w:t>
        <w:br w:type="textWrapping"/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CF₂ = 2 + 19 = +21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Solution 1)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Money-weighted Rate of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169648" cy="71104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9648" cy="711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 = 11.9% per year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Now, for the</w:t>
      </w:r>
      <w:r w:rsidDel="00000000" w:rsidR="00000000" w:rsidRPr="00000000">
        <w:rPr>
          <w:b w:val="1"/>
          <w:bCs w:val="1"/>
          <w:rtl w:val="0"/>
        </w:rPr>
        <w:t xml:space="preserve"> time weighted return</w:t>
      </w:r>
      <w:r w:rsidDel="00000000" w:rsidR="00000000" w:rsidRPr="00000000">
        <w:rPr>
          <w:rtl w:val="0"/>
        </w:rPr>
        <w:t xml:space="preserve">, we should break the investment into subperiods which ignores the size of the cash flows.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Subperiod t = 0 to t = 1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 value 2 * 20 = 40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Ending value just before selling: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Price per share = 22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Value  = 2 * 22 = 44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Dividend received during period = 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2652713" cy="94241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942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Subperiod t = 1 to t = 2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sold one share so we now hold only 1 share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Value at start of period = 1 * 22 = 22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Ending value = 19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Dividend during period = 2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3462338" cy="109219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1092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3777730" cy="178985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7730" cy="1789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Notes: Time-weighted return isolates asset performance, while money-weighted return reflects investor timing.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