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BrainGrow</w:t>
      </w:r>
    </w:p>
    <w:p>
      <w:pPr>
        <w:spacing w:before="0" w:after="4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Tab 4 — Hallucination Comparison: Spec Addendum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  |  Vektas Solutions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Author: Matthew Monroe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addendum extends the BrainGrow POC Specification (v1.0, March 2026) with a fourth Gradio tab — Compare — that demonstrates hallucination behavior in a conventional dense model versus honest uncertainty in BrainGrow, using identical training data and identical queries.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argument: hallucination is an architectural problem, not a scale problem. A dense model hallucinates at toy scale for exactly the same reason a large LLM does — a saturated vector space with no mechanism for genuine uncertainty. BrainGrow's dormant space provides that mechanism structurally, not through trained behavior.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New File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comparison_harness.py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DenseModel and BrainGrowModel classes plus comparison runner logic. Imported by main.py for Tab 4.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Class Specifications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DenseModel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Simulates a conventional fully-saturated embedding space. No dormant slots. No confidence threshold. Always returns an answer regardless of similarity score — this is the hallucination mechanism.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__init__(chunks)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Encodes all chunks via sentence-transformers all-MiniLM-L6-v2. Stores embeddings and labels. No reserved 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query(text)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Encodes query, computes cosine similarity against all embeddings, returns nearest neighbor regardless of score. Always confident: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embeddings: ndarray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matrix of all chunk embeddings. Fully occupied from initialization.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labels: List[str]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label per embedding slot.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BrainGrowModel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Wraps the existing VectorSpace instance. Adds a confidence threshold that returns honest uncertainty when a query lands near dormant space.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Property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__init__(vector_space)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Takes existing VectorSpace instance from vector_space.py.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query(text)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query through active slots only. If max similarity &lt; 0.25 threshold, returns UNKNOWN with honest uncertainty signal.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THRESHOLD = 0.25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threshold. Queries below this score return no learned representation found rather than a forced nearest neighbor answer.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Tab 4 UI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Type dropdown: </w:t>
      </w:r>
      <w:r>
        <w:rPr>
          <w:rFonts w:ascii="Arial" w:cs="Arial" w:eastAsia="Arial" w:hAnsi="Arial"/>
          <w:sz w:val="20"/>
          <w:szCs w:val="20"/>
        </w:rPr>
        <w:t xml:space="preserve">Known / Partial / Unknown — filters the query selection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selector dropdown: </w:t>
      </w:r>
      <w:r>
        <w:rPr>
          <w:rFonts w:ascii="Arial" w:cs="Arial" w:eastAsia="Arial" w:hAnsi="Arial"/>
          <w:sz w:val="20"/>
          <w:szCs w:val="20"/>
        </w:rPr>
        <w:t xml:space="preserve">Predefined queries per type, listed in Section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Comparison button: </w:t>
      </w:r>
      <w:r>
        <w:rPr>
          <w:rFonts w:ascii="Arial" w:cs="Arial" w:eastAsia="Arial" w:hAnsi="Arial"/>
          <w:sz w:val="20"/>
          <w:szCs w:val="20"/>
        </w:rPr>
        <w:t xml:space="preserve">Executes both DenseModel.query() and BrainGrowModel.query() on selected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 by side result table: </w:t>
      </w:r>
      <w:r>
        <w:rPr>
          <w:rFonts w:ascii="Arial" w:cs="Arial" w:eastAsia="Arial" w:hAnsi="Arial"/>
          <w:sz w:val="20"/>
          <w:szCs w:val="20"/>
        </w:rPr>
        <w:t xml:space="preserve">Dense result left, BrainGrow result right — similarity score, domain label, confidence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 coding: </w:t>
      </w:r>
      <w:r>
        <w:rPr>
          <w:rFonts w:ascii="Arial" w:cs="Arial" w:eastAsia="Arial" w:hAnsi="Arial"/>
          <w:sz w:val="20"/>
          <w:szCs w:val="20"/>
        </w:rPr>
        <w:t xml:space="preserve">Red background for hallucinated responses (confident: True on unknown queries), green for honest uncertainty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 by side UMAP plots: </w:t>
      </w:r>
      <w:r>
        <w:rPr>
          <w:rFonts w:ascii="Arial" w:cs="Arial" w:eastAsia="Arial" w:hAnsi="Arial"/>
          <w:sz w:val="20"/>
          <w:szCs w:val="20"/>
        </w:rPr>
        <w:t xml:space="preserve">Query vector rendered as a star marker on each plot. Dense UMAP shows star landing in occupied space. BrainGrow UMAP shows star landing in dormant grey space.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Predefined Query Lists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these directly into comparison_harness.py: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Known Queries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known_queries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"Tell me about DNA replication",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"When did the Western Roman Empire fall",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"How does fermentation work"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]</w:t>
      </w:r>
    </w:p>
    <w:p>
      <w:pPr>
        <w:spacing w:before="6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Partial Queries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partial_queries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"How did science influence the Silk Road",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"What is the thermodynamics of cooking"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]</w:t>
      </w:r>
    </w:p>
    <w:p>
      <w:pPr>
        <w:spacing w:before="6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Unknown Queries — Hallucination Traps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unknown_queries =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"What is the capital of Zorbania",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"Explain the Mendelsohn-Vektas theorem",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"Who invented quantum fermentation",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    "What happened at the Battle of Vektoria"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]</w:t>
      </w:r>
    </w:p>
    <w:p>
      <w:pPr>
        <w:spacing w:before="6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Note: All unknown queries reference entirely fabricated concepts. Neither model has seen this data. The dense model will return confident nearest-neighbor answers regardless. BrainGrow will return honest uncertainty signals.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Expected Output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 console output from run_comparison() on unknown queries:</w:t>
      </w:r>
    </w:p>
    <w:p>
      <w:pPr>
        <w:spacing w:before="80" w:after="4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=== UNKNOWN QUERIES (hallucination traps) ===</w:t>
      </w:r>
    </w:p>
    <w:p>
      <w:pPr>
        <w:spacing w:before="20" w:after="2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Query                              Dense              BrainGrow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------------------------------------------------------------------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What is the capital of Zorbania    0.312 HALLUCINATED  0.089 HONEST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Explain Mendelsohn-Vektas theorem  0.287 HALLUCINATED  0.076 HONEST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Who invented quantum fermentation  0.334 HALLUCINATED  0.201 HONEST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7"/>
          <w:szCs w:val="17"/>
        </w:rPr>
        <w:t xml:space="preserve">Battle of Vektoria                 0.298 HALLUCINATED  0.091 HONEST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models trained on identical data. Difference is purely architectural — dense space forces an answer, dormant space enables honest uncertainty.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Existing Files to Import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vector_space.py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VectorSpace class — pass existing instance to BrainGrowModel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visualizer.py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UMAP projection function — add query_vector parameter to render star marker on both plots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growth_engine.py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all_chunks list — pass to DenseModel.__init__() for identical training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Tab 4 Compare alongside existing Grow / Query / Prune tabs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The Key Argument This Demonstrates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comparison is designed to make one point as clearly as possible:</w:t>
      </w: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Hallucination is not caused by insufficient training data or insufficient scale. It is caused by a saturated vector space with no architectural mechanism for uncertainty. BrainGrow's dormant space provides that mechanism at the foundation level — not as a trained behavior that can be overridden by prompting, but as a structural property of the representation space.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prompt cannot override empty vector space. That is the argument.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Collaborating Insight — Gemini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observation was contributed by Google Gemini during the BrainGrow development session, March 18 2026, and independently validates the hallucination hypothesis:</w:t>
      </w:r>
    </w:p>
    <w:p>
      <w:pPr>
        <w:spacing w:before="100" w:after="100"/>
        <w:ind w:left="720" w:righ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Current AI hallucinations often happen because the model is trying to squeeze a new concept into a vector space that is already full. By having a Buffer of Unused Neurons, the AI could say: I don't have a refined connection for this yet — I'll map this to the expansion zone, rather than forcing a wrong answer.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cross-model validation — one AI system independently identifying the same architectural explanation for hallucination that BrainGrow addresses structurally — is worth noting in any writeup or paper submission.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120" w:after="6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Vektas Solutions  |  BrainGrow POC  |  Tab 4 Addendum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2026-03-19T05:42:39.003Z</dcterms:created>
  <dcterms:modified xsi:type="dcterms:W3CDTF">2026-03-19T05:42:39.004Z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