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BrainGrow</w:t>
      </w:r>
    </w:p>
    <w:p>
      <w:pPr>
        <w:spacing w:before="0" w:after="40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Developmental AI Architecture — POC Specification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Version 1.0  |  March 2026  |  Vektas Solutions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Author: Matthew Monroe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Abstract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large language models are trained through a single, static training run — compressing all of human knowledge into a frozen weight matrix before the model ever interacts with the world. This document specifies a proof-of-concept (POC) system, BrainGrow, that inverts this paradigm.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Inspired by human neurodevelopment — where an infant is born with more neural connections than an adult, and the brain sculpts intelligence through use-dependent pruning — BrainGrow pre-allocates a large vector space and allows knowledge to grow into it organically through staged exposure and interaction. Dormant capacity is preserved for future expansion rather than discarded.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hypothesis: AGI-adjacent behavior may emerge not from more data fed into a static architecture, but from developmental dynamics — growth, reinforcement, and pruning over time.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Motivation &amp; Core Insight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The Biological Analogy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human child is born with approximately 100 billion neurons and, critically, more synaptic connections than a mature adult brain. Intelligence does not arise from adding connections — it arises from sculpting them: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Connections that fire together, wire together (Hebbian learning)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Connections that are unused get pruned — synaptic pruning peaks in adolescence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brain specializes by sacrificing generalist capacity for depth in used pathways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process is staged — sensory systems mature before executive function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result is an architecture that is maximally plastic early, then progressively specialized — driven entirely by experience rather than pre-loaded knowledge.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The Inversion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 AI development follows this sequence: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2E6DA4"/>
          <w:sz w:val="20"/>
          <w:szCs w:val="20"/>
        </w:rPr>
        <w:t xml:space="preserve">Data  →  Architecture  →  Intelligence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BrainGrow proposes: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Architecture  →  Experience  →  Intelligence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structure comes first. Knowledge shapes it through interaction, reinforcement, and pruning. Unused capacity is not wasted — it is reserved for domains not yet encountered.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The Frozen Model Problem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Today's LLMs are born fully adult — statically trained, then frozen. There is no childhood, no scaffolded development, no pruning phase. Fine-tuning patches the surface but cannot restructure the underlying representational geometry. BrainGrow asks: what if the architecture itself was designed to grow?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System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BrainGrow is a three-component unified demonstration built in Python, surfaced through a Gradio web UI. Each component illustrates one dimension of the developmental hypothesis.</w:t>
      </w:r>
    </w:p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Demonstrates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Grow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Pre-allocated vector space. Knowledge grows into it progressively. Active vs. dormant vectors visualized in real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 through active vectors only. New domain knowledge grows into previously dormant space without overwriting existing knowledge.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Prune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Use-dependent pruning pass. Dormant vectors decay. Active vectors strengthen. Before/after comparison visualized.</w:t>
            </w:r>
          </w:p>
        </w:tc>
      </w:tr>
    </w:tbl>
    <w:p>
      <w:pPr>
        <w:spacing w:before="12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Architectural Flow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Pre-allocate N vector slots — large, mostly empty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Stage 1: Feed Domain A text → vectors activate in sparse regions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Stage 2: Feed Domain B text → grows into NEW unused regions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Query: route through active vectors only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Pruning pass: decay dormant, reinforce active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[ Expansion: new domain claims previously dormant space ]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Technology Stack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PyTorch 2.x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Neural network, pruning mechanics, GPU acceleration (RTX 4070)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Seed the initial vector space with meaningful pretrained embeddings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Gradio 4.x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 UI — three tabs, localhost, shareable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Plotly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vector space visualization (UMAP/PCA 2D projection)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UMAP-learn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Dimensionality reduction for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math, activation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Cosine similarity, nearest neighbor routing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File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braingrow/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├── main.py              # Gradio app entry point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├── vector_space.py      # Pre-allocation, activation tracking, pruning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├── growth_engine.py     # Staged ingestion, embedding, slot assignment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├── query_router.py      # Routes queries through active vectors only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├── visualizer.py        # UMAP projection, Plotly charts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└── requirements.txt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Module Specifications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5.1 vector_space.py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core data structure. Owns all state.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 / Method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slots: Tensor [N, D]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Pre-allocated embedding matrix. N=10000 slots, D=384 dims (matches sentence-transformers all-MiniLM-L6-v2)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activation: Tensor [N]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0.0–1.0 per slot. 0 = dormant, 1 = fully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slot_labels: Dict[int, str]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slot index → concept label for visualization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assign_slot(embedding)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nearest dormant slot to embedding, activate it, store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reinforce(slot_idx)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 activation toward 1.0 on query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decay(step)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activation of unused slots by decay_rate per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prune(threshold)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out slots below activation threshold. Log count pruned.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get_active_mask()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tensor of currently active slots for routing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5.2 growth_engine.py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Handles staged text ingestion. Does not load all data at once.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Accepts a list of (text_chunk, domain_label) tuples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Encodes each chunk via sentence-transformers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Calls vector_space.assign_slot() — grows into nearest dormant region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Tracks which slots were activated per stage for visualization diff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Exposes ingest_stage(chunks) and get_stage_diff() methods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5.3 query_router.py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Routes a natural language query through the active vector space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Encodes query via sentence-transformers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Computes cosine similarity against active slots only (masked)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top-K matching slots with their labels and activation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Calls vector_space.reinforce() on matched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 structured result: {matches: [...], dormant_count: int, active_count: int}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5.4 visualizer.py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Produces interactive Plotly charts for Gradio display.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UMAP 2D projection of all slots (active = colored by domain, dormant = grey)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Activation histogram — distribution of activation scores across all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Stage diff view — highlights newly activated slots vs. prior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Prune comparison — before/after activation density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5.5 main.py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Gradio app with three tabs. Single shared VectorSpace instance across tabs.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1 — Grow: Text input, domain label, stage counter. Ingest button. Live UMAP + histogram.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2 — Query: Text input. Submit returns matched concepts, activation scores, dormant/active ratio.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3 — Prune: Threshold slider. Run Prune button. Before/after activation histogram side by side.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Core Data Contracts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Slot Assignment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assign_slot(embedding: Tensor[D]) →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slot_idx: int,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was_dormant: bool,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activation_before: float,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activation_after: float,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Query Result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route_query(text: str, top_k: int) →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matches: [ { slot_idx, label, similarity, activation } 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active_count: int,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dormant_count: int,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query_embedding: Tensor[D]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Stage Ingestion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ingest_stage(chunks: List[Tuple[str, str]]) →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slots_activated: List[int],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slots_reinforced: List[int],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dormant_remaining: int,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  stage_number: int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}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Demonstration Script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following staged demo sequence should be used to present the POC: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&amp; Expected Observation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1. Initialize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app. Show empty UMAP — 10,000 grey dormant 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2. Stage 1 — Science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10 science text chunks. Watch UMAP light up in a sparse cluster. Activation histogram shows ~0.1%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3. Stage 2 —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10 history chunks. New cluster appears in a DIFFERENT region. Science cluster unchanged.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4. Query — Science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a science question. Routing highlights science cluster only. History cluster stays dormant.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5. Query — 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a history question. Routing highlights history cluster. No cross-contamination.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6. Prune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pruning pass at threshold 0.2. Low-activation slots grey out. Core concepts survive.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7. Expand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 Stage 3 — a new domain (e.g. cooking). Grows into previously dormant space left by pruning.</w:t>
            </w:r>
          </w:p>
        </w:tc>
      </w:tr>
    </w:tbl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Success Metrics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POC is considered successful if it demonstrates: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Domains ingested at different stages occupy geometrically distinct regions of the vector space. </w:t>
      </w:r>
      <w:r>
        <w:rPr>
          <w:rFonts w:ascii="Arial" w:cs="Arial" w:eastAsia="Arial" w:hAnsi="Arial"/>
          <w:sz w:val="20"/>
          <w:szCs w:val="20"/>
        </w:rPr>
        <w:t xml:space="preserve">Spatial separation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Adding a new domain does not shift or corrupt previously activated regions. </w:t>
      </w:r>
      <w:r>
        <w:rPr>
          <w:rFonts w:ascii="Arial" w:cs="Arial" w:eastAsia="Arial" w:hAnsi="Arial"/>
          <w:sz w:val="20"/>
          <w:szCs w:val="20"/>
        </w:rPr>
        <w:t xml:space="preserve">Non-destructive expansion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Queries correctly activate domain-relevant slots and ignore unrelated active slots. </w:t>
      </w:r>
      <w:r>
        <w:rPr>
          <w:rFonts w:ascii="Arial" w:cs="Arial" w:eastAsia="Arial" w:hAnsi="Arial"/>
          <w:sz w:val="20"/>
          <w:szCs w:val="20"/>
        </w:rPr>
        <w:t xml:space="preserve">Routing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After a pruning pass, a new domain can successfully claim reclaimed dormant space. </w:t>
      </w:r>
      <w:r>
        <w:rPr>
          <w:rFonts w:ascii="Arial" w:cs="Arial" w:eastAsia="Arial" w:hAnsi="Arial"/>
          <w:sz w:val="20"/>
          <w:szCs w:val="20"/>
        </w:rPr>
        <w:t xml:space="preserve">Pruning recovery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 non-technical observer can watch the space grow and intuitively understand what is happening. </w:t>
      </w:r>
      <w:r>
        <w:rPr>
          <w:rFonts w:ascii="Arial" w:cs="Arial" w:eastAsia="Arial" w:hAnsi="Arial"/>
          <w:sz w:val="20"/>
          <w:szCs w:val="20"/>
        </w:rPr>
        <w:t xml:space="preserve">Visual legibility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Future Directions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the POC validates the core hypothesis, the following extensions become tractable: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Replace static text ingestion with agent-environment interaction. Slots activate based on reward signal, not just semantic similarity. </w:t>
      </w:r>
      <w:r>
        <w:rPr>
          <w:rFonts w:ascii="Arial" w:cs="Arial" w:eastAsia="Arial" w:hAnsi="Arial"/>
          <w:sz w:val="20"/>
          <w:szCs w:val="20"/>
        </w:rPr>
        <w:t xml:space="preserve">Embodied feedback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Implement staged pruning (fine-grained first, coarse-grained later) mirroring cortical development. </w:t>
      </w:r>
      <w:r>
        <w:rPr>
          <w:rFonts w:ascii="Arial" w:cs="Arial" w:eastAsia="Arial" w:hAnsi="Arial"/>
          <w:sz w:val="20"/>
          <w:szCs w:val="20"/>
        </w:rPr>
        <w:t xml:space="preserve">Hierarchical pruning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 whether concepts in overlapping vector regions produce emergent analogical reasoning. </w:t>
      </w:r>
      <w:r>
        <w:rPr>
          <w:rFonts w:ascii="Arial" w:cs="Arial" w:eastAsia="Arial" w:hAnsi="Arial"/>
          <w:sz w:val="20"/>
          <w:szCs w:val="20"/>
        </w:rPr>
        <w:t xml:space="preserve">Cross-domain generalization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Train an equivalently-sized static model on the same data. Compare query accuracy and representational geometry. </w:t>
      </w:r>
      <w:r>
        <w:rPr>
          <w:rFonts w:ascii="Arial" w:cs="Arial" w:eastAsia="Arial" w:hAnsi="Arial"/>
          <w:sz w:val="20"/>
          <w:szCs w:val="20"/>
        </w:rPr>
        <w:t xml:space="preserve">Comparison baseline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Results from the POC comparison constitute a viable workshop paper submission to NeurIPS, ICLR, or AAAI. </w:t>
      </w:r>
      <w:r>
        <w:rPr>
          <w:rFonts w:ascii="Arial" w:cs="Arial" w:eastAsia="Arial" w:hAnsi="Arial"/>
          <w:sz w:val="20"/>
          <w:szCs w:val="20"/>
        </w:rPr>
        <w:t xml:space="preserve">Publication</w:t>
      </w:r>
    </w:p>
    <w:p>
      <w:pPr>
        <w:pBdr>
          <w:bottom w:val="single" w:color="CCCCCC" w:sz="4" w:space="1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Notes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specification was developed in a single ideation session in March 2026. The core insight — that current AI development may have the data/architecture relationship inverted relative to biological intelligence — emerged from analogy with human neurodevelopment and synaptic pruning.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POC is intentionally minimal. Its purpose is not to train a competitive model, but to demonstrate that developmental dynamics (growth, reinforcement, pruning, expansion) can be implemented in a coherent and visually legible system — and that the resulting representations behave differently from statically trained alternatives.</w:t>
      </w:r>
    </w:p>
    <w:p>
      <w:pPr>
        <w:spacing w:before="120" w:after="60"/>
      </w:pPr>
    </w:p>
    <w:p>
      <w:pPr>
        <w:spacing w:before="0" w:after="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Vektas Solutions  |  vektassolutions.com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2026-03-18T06:44:01.236Z</dcterms:created>
  <dcterms:modified xsi:type="dcterms:W3CDTF">2026-03-18T06:44:01.237Z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