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Намруев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Саналович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Создание виртуальной машины</w:t>
      </w:r>
    </w:p>
    <w:p>
      <w:pPr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</w:pPr>
      <w:r>
        <w:t xml:space="preserve">установка драйверов для VirtualBox</w:t>
      </w:r>
    </w:p>
    <w:p>
      <w:pPr>
        <w:numPr>
          <w:ilvl w:val="0"/>
          <w:numId w:val="1001"/>
        </w:numPr>
      </w:pPr>
      <w:r>
        <w:t xml:space="preserve">Установка имени пользователя и хоста</w:t>
      </w:r>
    </w:p>
    <w:p>
      <w:pPr>
        <w:numPr>
          <w:ilvl w:val="0"/>
          <w:numId w:val="1001"/>
        </w:numPr>
      </w:pPr>
      <w:r>
        <w:t xml:space="preserve">Установка программного обеспечения ля создание документации</w:t>
      </w:r>
    </w:p>
    <w:p>
      <w:pPr>
        <w:numPr>
          <w:ilvl w:val="0"/>
          <w:numId w:val="1001"/>
        </w:numPr>
      </w:pPr>
      <w:r>
        <w:t xml:space="preserve">Домашнее задание</w:t>
      </w:r>
    </w:p>
    <w:p>
      <w:pPr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1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виртуальную машину, нажимаю на кнопку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ввожу имя виртуальной машины и ввожу образ ISO(рис. 1).</w:t>
      </w:r>
    </w:p>
    <w:p>
      <w:pPr>
        <w:pStyle w:val="CaptionedFigure"/>
      </w:pPr>
      <w:bookmarkStart w:id="25" w:name="fig:001"/>
      <w:r>
        <w:drawing>
          <wp:inline>
            <wp:extent cx="5334000" cy="2963829"/>
            <wp:effectExtent b="0" l="0" r="0" t="0"/>
            <wp:docPr descr="Рис. 1: 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виртуальной машины</w:t>
      </w:r>
    </w:p>
    <w:p>
      <w:pPr>
        <w:pStyle w:val="BodyText"/>
      </w:pPr>
      <w:r>
        <w:t xml:space="preserve">Настраиваю виртуальную машину выделяя 8096 Мб основной памяти, 8 ядер процессора и 90 Гб жесткого диска. (рис. 2).(рис. 3).</w:t>
      </w:r>
    </w:p>
    <w:p>
      <w:pPr>
        <w:pStyle w:val="CaptionedFigure"/>
      </w:pPr>
      <w:bookmarkStart w:id="29" w:name="fig:002"/>
      <w:r>
        <w:drawing>
          <wp:inline>
            <wp:extent cx="4265068" cy="1841588"/>
            <wp:effectExtent b="0" l="0" r="0" t="0"/>
            <wp:docPr descr="Рис. 2: Настройка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68" cy="184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Настройка виртуальной машины</w:t>
      </w:r>
    </w:p>
    <w:p>
      <w:pPr>
        <w:pStyle w:val="CaptionedFigure"/>
      </w:pPr>
      <w:bookmarkStart w:id="33" w:name="fig:003"/>
      <w:r>
        <w:drawing>
          <wp:inline>
            <wp:extent cx="4009292" cy="971949"/>
            <wp:effectExtent b="0" l="0" r="0" t="0"/>
            <wp:docPr descr="Рис. 3: Настройка виртуальной машины" title="" id="31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92" cy="971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Настройка виртуальной машины</w:t>
      </w:r>
    </w:p>
    <w:p>
      <w:pPr>
        <w:pStyle w:val="BodyText"/>
      </w:pPr>
      <w:r>
        <w:t xml:space="preserve">После её запуска мне предлагается установаить ОС на жесткий диск, что я и делаю. (рис. 4).</w:t>
      </w:r>
    </w:p>
    <w:p>
      <w:pPr>
        <w:pStyle w:val="CaptionedFigure"/>
      </w:pPr>
      <w:bookmarkStart w:id="37" w:name="fig:004"/>
      <w:r>
        <w:drawing>
          <wp:inline>
            <wp:extent cx="2832721" cy="2621706"/>
            <wp:effectExtent b="0" l="0" r="0" t="0"/>
            <wp:docPr descr="Рис. 4: Установка ОС" title="" id="35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21" cy="2621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ОС</w:t>
      </w:r>
    </w:p>
    <w:p>
      <w:pPr>
        <w:pStyle w:val="BodyText"/>
      </w:pPr>
      <w:r>
        <w:t xml:space="preserve">При установке ОС выбираю русский язык.(рис. 5).</w:t>
      </w:r>
    </w:p>
    <w:p>
      <w:pPr>
        <w:pStyle w:val="CaptionedFigure"/>
      </w:pPr>
      <w:bookmarkStart w:id="41" w:name="fig:005"/>
      <w:r>
        <w:drawing>
          <wp:inline>
            <wp:extent cx="2474634" cy="1656151"/>
            <wp:effectExtent b="0" l="0" r="0" t="0"/>
            <wp:docPr descr="Рис. 5: Выбор языка" title="" id="39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34" cy="165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Выбор языка</w:t>
      </w:r>
    </w:p>
    <w:p>
      <w:pPr>
        <w:pStyle w:val="BodyText"/>
      </w:pPr>
      <w:r>
        <w:t xml:space="preserve">Выбираю устройтво по умолчанию и нажимаю</w:t>
      </w:r>
      <w:r>
        <w:t xml:space="preserve"> </w:t>
      </w:r>
      <w:r>
        <w:t xml:space="preserve">“</w:t>
      </w:r>
      <w:r>
        <w:t xml:space="preserve">Готово</w:t>
      </w:r>
      <w:r>
        <w:t xml:space="preserve">”</w:t>
      </w:r>
      <w:r>
        <w:t xml:space="preserve">.(рис. 6).</w:t>
      </w:r>
    </w:p>
    <w:p>
      <w:pPr>
        <w:pStyle w:val="CaptionedFigure"/>
      </w:pPr>
      <w:bookmarkStart w:id="45" w:name="fig:006"/>
      <w:r>
        <w:drawing>
          <wp:inline>
            <wp:extent cx="2743200" cy="1892744"/>
            <wp:effectExtent b="0" l="0" r="0" t="0"/>
            <wp:docPr descr="Рис. 6: Выбор устройтва" title="" id="43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92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Выбор устройтва</w:t>
      </w:r>
    </w:p>
    <w:p>
      <w:pPr>
        <w:pStyle w:val="BodyText"/>
      </w:pPr>
      <w:r>
        <w:t xml:space="preserve">Дожидаюсь завершения загрузки.(рис. 7).</w:t>
      </w:r>
    </w:p>
    <w:p>
      <w:pPr>
        <w:pStyle w:val="CaptionedFigure"/>
      </w:pPr>
      <w:bookmarkStart w:id="49" w:name="fig:007"/>
      <w:r>
        <w:drawing>
          <wp:inline>
            <wp:extent cx="2704833" cy="1969476"/>
            <wp:effectExtent b="0" l="0" r="0" t="0"/>
            <wp:docPr descr="Рис. 7: Завершения загрузки" title="" id="47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33" cy="196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Завершения загрузки</w:t>
      </w:r>
    </w:p>
    <w:p>
      <w:pPr>
        <w:pStyle w:val="BodyText"/>
      </w:pPr>
      <w:r>
        <w:t xml:space="preserve">Далее выключаю виртуальную машину, изымаю диск и привода и запускаю её снова. (рис. 8).</w:t>
      </w:r>
    </w:p>
    <w:p>
      <w:pPr>
        <w:pStyle w:val="CaptionedFigure"/>
      </w:pPr>
      <w:bookmarkStart w:id="53" w:name="fig:008"/>
      <w:r>
        <w:drawing>
          <wp:inline>
            <wp:extent cx="3849432" cy="1521868"/>
            <wp:effectExtent b="0" l="0" r="0" t="0"/>
            <wp:docPr descr="Рис. 8: Изъятие диска из привода" title="" id="51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32" cy="15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Изъятие диска из привода</w:t>
      </w:r>
    </w:p>
    <w:p>
      <w:pPr>
        <w:pStyle w:val="BodyText"/>
      </w:pPr>
      <w:r>
        <w:t xml:space="preserve">Далле завершаю настройку ОС, вводя её имя (msnamruev).(рис. 9).</w:t>
      </w:r>
    </w:p>
    <w:p>
      <w:pPr>
        <w:pStyle w:val="CaptionedFigure"/>
      </w:pPr>
      <w:bookmarkStart w:id="57" w:name="fig:009"/>
      <w:r>
        <w:drawing>
          <wp:inline>
            <wp:extent cx="3945348" cy="2647283"/>
            <wp:effectExtent b="0" l="0" r="0" t="0"/>
            <wp:docPr descr="Рис. 9: Ввод имени" title="" id="55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48" cy="264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Ввод имени</w:t>
      </w:r>
    </w:p>
    <w:p>
      <w:pPr>
        <w:pStyle w:val="BodyText"/>
      </w:pPr>
      <w:r>
        <w:t xml:space="preserve">Далле вхожу в ОС под заданной мной при установке учетной записью, переключаюсь на роль супер-пользователя, и обновляю все пакеты.(рис. 10).</w:t>
      </w:r>
    </w:p>
    <w:p>
      <w:pPr>
        <w:pStyle w:val="CaptionedFigure"/>
      </w:pPr>
      <w:bookmarkStart w:id="61" w:name="fig:010"/>
      <w:r>
        <w:drawing>
          <wp:inline>
            <wp:extent cx="4162758" cy="1720095"/>
            <wp:effectExtent b="0" l="0" r="0" t="0"/>
            <wp:docPr descr="Рис. 10: Обновление пакетов" title="" id="59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58" cy="172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Обновление пакетов</w:t>
      </w:r>
    </w:p>
    <w:p>
      <w:pPr>
        <w:pStyle w:val="BodyText"/>
      </w:pPr>
      <w:r>
        <w:t xml:space="preserve">Далее устанавливаю программы для удобства работы в консоли.(рис. 11).</w:t>
      </w:r>
    </w:p>
    <w:p>
      <w:pPr>
        <w:pStyle w:val="CaptionedFigure"/>
      </w:pPr>
      <w:bookmarkStart w:id="65" w:name="fig:011"/>
      <w:r>
        <w:drawing>
          <wp:inline>
            <wp:extent cx="2244436" cy="198226"/>
            <wp:effectExtent b="0" l="0" r="0" t="0"/>
            <wp:docPr descr="Рис. 11: Установка программ" title="" id="63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436" cy="198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Установка программ</w:t>
      </w:r>
    </w:p>
    <w:p>
      <w:pPr>
        <w:pStyle w:val="BodyText"/>
      </w:pPr>
      <w:r>
        <w:t xml:space="preserve">Использую автоматическое обновление.(рис. 12).</w:t>
      </w:r>
    </w:p>
    <w:p>
      <w:pPr>
        <w:pStyle w:val="CaptionedFigure"/>
      </w:pPr>
      <w:bookmarkStart w:id="69" w:name="fig:012"/>
      <w:r>
        <w:drawing>
          <wp:inline>
            <wp:extent cx="2404296" cy="274959"/>
            <wp:effectExtent b="0" l="0" r="0" t="0"/>
            <wp:docPr descr="Рис. 12: автоматическое обновление" title="" id="67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296" cy="27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автоматическое обновление</w:t>
      </w:r>
    </w:p>
    <w:p>
      <w:pPr>
        <w:pStyle w:val="BodyText"/>
      </w:pPr>
      <w:r>
        <w:t xml:space="preserve">Запускаю таймер.(рис. 13).</w:t>
      </w:r>
    </w:p>
    <w:p>
      <w:pPr>
        <w:pStyle w:val="CaptionedFigure"/>
      </w:pPr>
      <w:bookmarkStart w:id="73" w:name="fig:013"/>
      <w:r>
        <w:drawing>
          <wp:inline>
            <wp:extent cx="3139653" cy="172648"/>
            <wp:effectExtent b="0" l="0" r="0" t="0"/>
            <wp:docPr descr="Рис. 13: Запуск таймера" title="" id="71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653" cy="17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Запуск таймера</w:t>
      </w:r>
    </w:p>
    <w:p>
      <w:pPr>
        <w:pStyle w:val="BodyText"/>
      </w:pPr>
      <w:r>
        <w:t xml:space="preserve">В файле /etc/selinux/config заменяю значение SELINUX=enforcing на SELINUX=permissive и перезапускаю виртуальную машину.(рис. 14).</w:t>
      </w:r>
    </w:p>
    <w:p>
      <w:pPr>
        <w:pStyle w:val="CaptionedFigure"/>
      </w:pPr>
      <w:bookmarkStart w:id="77" w:name="fig:014"/>
      <w:r>
        <w:drawing>
          <wp:inline>
            <wp:extent cx="4303434" cy="2858299"/>
            <wp:effectExtent b="0" l="0" r="0" t="0"/>
            <wp:docPr descr="Рис. 14: Отключение SELinux" title="" id="75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34" cy="2858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Отключение SELinux</w:t>
      </w:r>
    </w:p>
    <w:p>
      <w:pPr>
        <w:pStyle w:val="BodyText"/>
      </w:pPr>
      <w:r>
        <w:t xml:space="preserve">Устанавливаю средства разработки.(рис. 15).</w:t>
      </w:r>
    </w:p>
    <w:p>
      <w:pPr>
        <w:pStyle w:val="CaptionedFigure"/>
      </w:pPr>
      <w:bookmarkStart w:id="81" w:name="fig:015"/>
      <w:r>
        <w:drawing>
          <wp:inline>
            <wp:extent cx="3452979" cy="242987"/>
            <wp:effectExtent b="0" l="0" r="0" t="0"/>
            <wp:docPr descr="Рис. 15: Установка средств разработки" title="" id="79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9" cy="2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Установка средств разработки</w:t>
      </w:r>
    </w:p>
    <w:p>
      <w:pPr>
        <w:pStyle w:val="BodyText"/>
      </w:pPr>
      <w:r>
        <w:t xml:space="preserve">Устанавливаю пакеты DKMS.(рис. 16).</w:t>
      </w:r>
    </w:p>
    <w:p>
      <w:pPr>
        <w:pStyle w:val="CaptionedFigure"/>
      </w:pPr>
      <w:bookmarkStart w:id="85" w:name="fig:016"/>
      <w:r>
        <w:drawing>
          <wp:inline>
            <wp:extent cx="2327563" cy="268565"/>
            <wp:effectExtent b="0" l="0" r="0" t="0"/>
            <wp:docPr descr="Рис. 16: Установка пакетов DKMS" title="" id="83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563" cy="268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Установка пакетов DKMS</w:t>
      </w:r>
    </w:p>
    <w:p>
      <w:pPr>
        <w:pStyle w:val="BodyText"/>
      </w:pPr>
      <w:r>
        <w:t xml:space="preserve">Подключаю образ диска Дополнений гостевой ОС.(рис. 17).</w:t>
      </w:r>
    </w:p>
    <w:p>
      <w:pPr>
        <w:pStyle w:val="CaptionedFigure"/>
      </w:pPr>
      <w:bookmarkStart w:id="89" w:name="fig:017"/>
      <w:r>
        <w:drawing>
          <wp:inline>
            <wp:extent cx="2608917" cy="1509079"/>
            <wp:effectExtent b="0" l="0" r="0" t="0"/>
            <wp:docPr descr="Рис. 17: Подключение образа диска" title="" id="87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150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Подключение образа диска</w:t>
      </w:r>
    </w:p>
    <w:p>
      <w:pPr>
        <w:pStyle w:val="BodyText"/>
      </w:pPr>
      <w:r>
        <w:t xml:space="preserve">Подмонтирую диск, устанавливаю драйвера и перезагружаю Виртуальную машину. (рис. 18).</w:t>
      </w:r>
    </w:p>
    <w:p>
      <w:pPr>
        <w:pStyle w:val="CaptionedFigure"/>
      </w:pPr>
      <w:bookmarkStart w:id="93" w:name="fig:018"/>
      <w:r>
        <w:drawing>
          <wp:inline>
            <wp:extent cx="4201124" cy="2276408"/>
            <wp:effectExtent b="0" l="0" r="0" t="0"/>
            <wp:docPr descr="Рис. 18: Установка драйверов" title="" id="91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24" cy="2276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Установка драйверов</w:t>
      </w:r>
    </w:p>
    <w:p>
      <w:pPr>
        <w:pStyle w:val="BodyText"/>
      </w:pPr>
      <w:r>
        <w:t xml:space="preserve">Меняю имя хоста на msnamruev.(рис. 19).</w:t>
      </w:r>
    </w:p>
    <w:p>
      <w:pPr>
        <w:pStyle w:val="CaptionedFigure"/>
      </w:pPr>
      <w:bookmarkStart w:id="97" w:name="fig:019"/>
      <w:r>
        <w:drawing>
          <wp:inline>
            <wp:extent cx="3190808" cy="211015"/>
            <wp:effectExtent b="0" l="0" r="0" t="0"/>
            <wp:docPr descr="Рис. 19: Изменение имени хоста" title="" id="95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08" cy="21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Изменение имени хоста</w:t>
      </w:r>
    </w:p>
    <w:p>
      <w:pPr>
        <w:pStyle w:val="BodyText"/>
      </w:pPr>
      <w:r>
        <w:t xml:space="preserve">Устаналиваю средство pandoc для работы с Markdown.(рис. 20).</w:t>
      </w:r>
    </w:p>
    <w:p>
      <w:pPr>
        <w:pStyle w:val="CaptionedFigure"/>
      </w:pPr>
      <w:bookmarkStart w:id="101" w:name="fig:020"/>
      <w:r>
        <w:drawing>
          <wp:inline>
            <wp:extent cx="4092419" cy="2397902"/>
            <wp:effectExtent b="0" l="0" r="0" t="0"/>
            <wp:docPr descr="Рис. 20: Установка pandoc" title="" id="99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19" cy="239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Установка pandoc</w:t>
      </w:r>
    </w:p>
    <w:p>
      <w:pPr>
        <w:pStyle w:val="BodyText"/>
      </w:pPr>
      <w:r>
        <w:t xml:space="preserve">Устанавливаю дистрибутив TeXlive.(рис. 21).</w:t>
      </w:r>
    </w:p>
    <w:p>
      <w:pPr>
        <w:pStyle w:val="CaptionedFigure"/>
      </w:pPr>
      <w:bookmarkStart w:id="105" w:name="fig:021"/>
      <w:r>
        <w:drawing>
          <wp:inline>
            <wp:extent cx="2973398" cy="230198"/>
            <wp:effectExtent b="0" l="0" r="0" t="0"/>
            <wp:docPr descr="Рис. 21: Установка Texlive" title="" id="103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398" cy="2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Установка Texlive</w:t>
      </w:r>
    </w:p>
    <w:bookmarkStart w:id="134" w:name="домашнее-задани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Узнаю версию ядра Linux.(рис. 22).</w:t>
      </w:r>
    </w:p>
    <w:p>
      <w:pPr>
        <w:pStyle w:val="CaptionedFigure"/>
      </w:pPr>
      <w:bookmarkStart w:id="109" w:name="fig:022"/>
      <w:r>
        <w:drawing>
          <wp:inline>
            <wp:extent cx="5334000" cy="692835"/>
            <wp:effectExtent b="0" l="0" r="0" t="0"/>
            <wp:docPr descr="Рис. 22: Верисия ядра Linux" title="" id="107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Верисия ядра Linux</w:t>
      </w:r>
    </w:p>
    <w:p>
      <w:pPr>
        <w:pStyle w:val="BodyText"/>
      </w:pPr>
      <w:r>
        <w:t xml:space="preserve">Узнаю частоту процессора (рис. 23).</w:t>
      </w:r>
    </w:p>
    <w:p>
      <w:pPr>
        <w:pStyle w:val="CaptionedFigure"/>
      </w:pPr>
      <w:bookmarkStart w:id="113" w:name="fig:023"/>
      <w:r>
        <w:drawing>
          <wp:inline>
            <wp:extent cx="5334000" cy="1435035"/>
            <wp:effectExtent b="0" l="0" r="0" t="0"/>
            <wp:docPr descr="Рис. 23: Частота процессора" title="" id="111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Частота процессора</w:t>
      </w:r>
    </w:p>
    <w:p>
      <w:pPr>
        <w:pStyle w:val="BodyText"/>
      </w:pPr>
      <w:r>
        <w:t xml:space="preserve">Узнаю модель процессора (рис. 24).</w:t>
      </w:r>
    </w:p>
    <w:p>
      <w:pPr>
        <w:pStyle w:val="CaptionedFigure"/>
      </w:pPr>
      <w:bookmarkStart w:id="117" w:name="fig:024"/>
      <w:r>
        <w:drawing>
          <wp:inline>
            <wp:extent cx="5334000" cy="676140"/>
            <wp:effectExtent b="0" l="0" r="0" t="0"/>
            <wp:docPr descr="Рис. 24: Модель процессора" title="" id="115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Модель процессора</w:t>
      </w:r>
    </w:p>
    <w:p>
      <w:pPr>
        <w:pStyle w:val="BodyText"/>
      </w:pPr>
      <w:r>
        <w:t xml:space="preserve">Узнаю объём доступной оперативной памяти (рис. 25).</w:t>
      </w:r>
    </w:p>
    <w:p>
      <w:pPr>
        <w:pStyle w:val="CaptionedFigure"/>
      </w:pPr>
      <w:bookmarkStart w:id="121" w:name="fig:025"/>
      <w:r>
        <w:drawing>
          <wp:inline>
            <wp:extent cx="5041900" cy="723900"/>
            <wp:effectExtent b="0" l="0" r="0" t="0"/>
            <wp:docPr descr="Рис. 25: Объем оперативной памяти" title="" id="119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Объем оперативной памяти</w:t>
      </w:r>
    </w:p>
    <w:p>
      <w:pPr>
        <w:pStyle w:val="BodyText"/>
      </w:pPr>
      <w:r>
        <w:t xml:space="preserve">Узнаю тип обнаруженного гипервизора.(рис. 26).</w:t>
      </w:r>
    </w:p>
    <w:p>
      <w:pPr>
        <w:pStyle w:val="CaptionedFigure"/>
      </w:pPr>
      <w:bookmarkStart w:id="125" w:name="fig:026"/>
      <w:r>
        <w:drawing>
          <wp:inline>
            <wp:extent cx="5334000" cy="729915"/>
            <wp:effectExtent b="0" l="0" r="0" t="0"/>
            <wp:docPr descr="Рис. 26: Тип обнаруженного гипервизер" title="" id="123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Тип обнаруженного гипервизер</w:t>
      </w:r>
    </w:p>
    <w:p>
      <w:pPr>
        <w:pStyle w:val="BodyText"/>
      </w:pPr>
      <w:r>
        <w:t xml:space="preserve">Узнаю тип файловой системы корневого раздела.(рис. 27).</w:t>
      </w:r>
    </w:p>
    <w:p>
      <w:pPr>
        <w:pStyle w:val="CaptionedFigure"/>
      </w:pPr>
      <w:bookmarkStart w:id="129" w:name="fig:027"/>
      <w:r>
        <w:drawing>
          <wp:inline>
            <wp:extent cx="5334000" cy="573463"/>
            <wp:effectExtent b="0" l="0" r="0" t="0"/>
            <wp:docPr descr="Рис. 27: Тип файловой системы корневого рахдела" title="" id="127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Тип файловой системы корневого рахдела</w:t>
      </w:r>
    </w:p>
    <w:p>
      <w:pPr>
        <w:pStyle w:val="BodyText"/>
      </w:pPr>
      <w:r>
        <w:t xml:space="preserve">Узнаю последовательность монтирования файловых систем.(рис. 28).</w:t>
      </w:r>
    </w:p>
    <w:p>
      <w:pPr>
        <w:pStyle w:val="CaptionedFigure"/>
      </w:pPr>
      <w:bookmarkStart w:id="133" w:name="fig:028"/>
      <w:r>
        <w:drawing>
          <wp:inline>
            <wp:extent cx="5334000" cy="2105701"/>
            <wp:effectExtent b="0" l="0" r="0" t="0"/>
            <wp:docPr descr="Рис. 28: последовательность монтирования файловых систем" title="" id="131" name="Picture"/>
            <a:graphic>
              <a:graphicData uri="http://schemas.openxmlformats.org/drawingml/2006/picture">
                <pic:pic>
                  <pic:nvPicPr>
                    <pic:cNvPr descr="/home/msnamruev/Изображения/Снимки%20экрана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последовательность монтирования файловых систем</w:t>
      </w:r>
    </w:p>
    <w:bookmarkEnd w:id="134"/>
    <w:bookmarkStart w:id="135" w:name="ответы-на-контрольные-вопрос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Информацию необходимую для идентификация пользователя.</w:t>
      </w:r>
    </w:p>
    <w:p>
      <w:pPr>
        <w:numPr>
          <w:ilvl w:val="0"/>
          <w:numId w:val="1003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0"/>
        </w:numPr>
      </w:pPr>
      <w:r>
        <w:t xml:space="preserve">help - для получения справки по команде;</w:t>
      </w:r>
      <w:r>
        <w:t xml:space="preserve"> </w:t>
      </w:r>
      <w:r>
        <w:t xml:space="preserve">cd - для перемещения по файловой системе;</w:t>
      </w:r>
      <w:r>
        <w:t xml:space="preserve"> </w:t>
      </w:r>
      <w:r>
        <w:t xml:space="preserve">ls - для просмотра содержимого каталога;</w:t>
      </w:r>
      <w:r>
        <w:t xml:space="preserve"> </w:t>
      </w:r>
      <w:r>
        <w:t xml:space="preserve">du - для определения объёма каталога;</w:t>
      </w:r>
      <w:r>
        <w:t xml:space="preserve"> </w:t>
      </w:r>
      <w:r>
        <w:t xml:space="preserve">mkdir/rm /touch/ rm для создания / удаления каталогов / файлов;</w:t>
      </w:r>
      <w:r>
        <w:t xml:space="preserve"> </w:t>
      </w:r>
      <w:r>
        <w:t xml:space="preserve">chmod - для задания определённых прав на файл / каталог;</w:t>
      </w:r>
      <w:r>
        <w:t xml:space="preserve"> </w:t>
      </w:r>
      <w:r>
        <w:t xml:space="preserve">history - для просмотра истории команд.</w:t>
      </w:r>
    </w:p>
    <w:p>
      <w:pPr>
        <w:numPr>
          <w:ilvl w:val="0"/>
          <w:numId w:val="1003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структура, используемая операционной системой для организации и управления файлами на устройстве хранения, например на жестком диске, твердотельном накопителе (SSD) или USB-накопителе.</w:t>
      </w:r>
    </w:p>
    <w:p>
      <w:pPr>
        <w:numPr>
          <w:ilvl w:val="0"/>
          <w:numId w:val="1004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Команда findmnt — это простая утилита командной строки, используемая для отображения списка смонтированных файловых систем или поиска файловой системы в /etc/fstab, /etc/mtab и /proc/self/mountinfo.</w:t>
      </w:r>
    </w:p>
    <w:p>
      <w:pPr>
        <w:numPr>
          <w:ilvl w:val="0"/>
          <w:numId w:val="1005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Следует узнать его id с помощью ps за затем использовать команду kill.</w:t>
      </w:r>
    </w:p>
    <w:bookmarkEnd w:id="135"/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данной лабораторной работы я приобрел навыки установки операционной системы на виртуальную машину, настройки минимально необходимых для дальнейшей рыботы сервисов.</w:t>
      </w:r>
    </w:p>
    <w:bookmarkEnd w:id="137"/>
    <w:bookmarkStart w:id="139" w:name="список-литературы"/>
    <w:p>
      <w:pPr>
        <w:pStyle w:val="Heading1"/>
      </w:pPr>
      <w:r>
        <w:t xml:space="preserve">Список литературы</w:t>
      </w:r>
    </w:p>
    <w:bookmarkStart w:id="138" w:name="refs"/>
    <w:bookmarkEnd w:id="138"/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Намруев Максим Саналович</dc:creator>
  <dc:language>ru-RU</dc:language>
  <cp:keywords/>
  <dcterms:created xsi:type="dcterms:W3CDTF">2024-03-01T19:45:42Z</dcterms:created>
  <dcterms:modified xsi:type="dcterms:W3CDTF">2024-03-01T19:45:42Z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Sans</vt:lpwstr>
  </property>
  <property fmtid="{D5CDD505-2E9C-101B-9397-08002B2CF9AE}" pid="52" name="mainfontoptions">
    <vt:lpwstr>Ligatures=TeX</vt:lpwstr>
  </property>
  <property fmtid="{D5CDD505-2E9C-101B-9397-08002B2CF9AE}" pid="53" name="monofont">
    <vt:lpwstr>PT Sans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Sans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