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48"/>
          <w:szCs w:val="48"/>
        </w:rPr>
        <w:t xml:space="preserve"/>
      </w:r>
    </w:p>
    <w:p>
      <w:pPr>
        <w:spacing w:after="10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2B55"/>
          <w:sz w:val="80"/>
          <w:szCs w:val="80"/>
        </w:rPr>
        <w:t xml:space="preserve">AI 实战训练营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38"/>
          <w:szCs w:val="38"/>
        </w:rPr>
        <w:t xml:space="preserve">融资招募计划书</w:t>
      </w:r>
    </w:p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Investor &amp; Partner Deck  ·  2025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C"/>
                <w:sz w:val="44"/>
                <w:szCs w:val="44"/>
              </w:rPr>
              <w:t xml:space="preserve">50-80万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启动资金需求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首轮融资目标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44"/>
                <w:szCs w:val="44"/>
              </w:rPr>
              <w:t xml:space="preserve">3阶×2赛道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产品矩阵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覆盖青少年+职场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44"/>
                <w:szCs w:val="44"/>
              </w:rPr>
              <w:t xml:space="preserve">ROI 18月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预期回报周期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资金方参考退出节点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本文件仅供受邀合作方及投资人参阅，内容涉及商业敏感信息，请勿对外传播。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36"/>
          <w:szCs w:val="36"/>
        </w:rPr>
        <w:t xml:space="preserve"/>
      </w:r>
    </w:p>
    <w:p>
      <w:r>
        <w:br w:type="page"/>
      </w:r>
    </w:p>
    <w:p>
      <w:pPr>
        <w:pBdr>
          <w:bottom w:val="single" w:color="1B4F8C" w:sz="10" w:space="6"/>
        </w:pBdr>
        <w:spacing w:after="160" w:before="560"/>
      </w:pPr>
      <w:r>
        <w:rPr>
          <w:rFonts w:ascii="Arial" w:cs="Arial" w:eastAsia="Arial" w:hAnsi="Arial"/>
          <w:b/>
          <w:bCs/>
          <w:i w:val="false"/>
          <w:iCs w:val="false"/>
          <w:color w:val="1B4F8C"/>
          <w:sz w:val="36"/>
          <w:szCs w:val="36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1B4F8C"/>
          <w:sz w:val="34"/>
          <w:szCs w:val="34"/>
        </w:rPr>
        <w:t xml:space="preserve">01  市场机会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我们正处在 AI 教育市场爆发式增长的起点。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 2024 年起，国内 AI 工具的普及速度远超预期，但能帮助普通人真正用起来的落地教育产品极度稀缺。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C"/>
                <w:sz w:val="52"/>
                <w:szCs w:val="52"/>
              </w:rPr>
              <w:t xml:space="preserve">千亿+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AI 教育市场规模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2025 年预测，年增超 40%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52"/>
                <w:szCs w:val="52"/>
              </w:rPr>
              <w:t xml:space="preserve">90%+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AI 工具渗透率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但真正会用者不足 10%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52"/>
                <w:szCs w:val="52"/>
              </w:rPr>
              <w:t xml:space="preserve">两空白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青少年 + 职场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高质量实战培训严重缺位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三大结构性机会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B4F8C" w:sz="1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C"/>
                <w:sz w:val="21"/>
                <w:szCs w:val="21"/>
              </w:rPr>
              <w:t xml:space="preserve">机会一：实操型产品极度稀缺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市场上 95% 的 AI 课程停留在「讲工具是什么」，能让学员当场做出真实成品的线下实战营几乎为零。这是我们的核心切入点。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6B3C" w:sz="1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21"/>
                <w:szCs w:val="21"/>
              </w:rPr>
              <w:t xml:space="preserve">机会二：青少年 AI 教育是下一个「编程热」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2024 年多地中小学已将 AI 素养纳入评估体系，家长对「孩子学 AI」的付费意愿显著强于成人。先入局者将获得强大的先发优势。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7770D" w:sz="1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21"/>
                <w:szCs w:val="21"/>
              </w:rPr>
              <w:t xml:space="preserve">机会三：企业主对 AI 落地需求迫切且付费能力强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总裁班学员普遍面临「听过 AI 但不知道怎么用在公司里」的困境，愿意为真正能落地的解决方案付出高客单价。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Bdr>
          <w:bottom w:val="single" w:color="1B4F8C" w:sz="10" w:space="6"/>
        </w:pBdr>
        <w:spacing w:after="160" w:before="560"/>
      </w:pPr>
      <w:r>
        <w:rPr>
          <w:rFonts w:ascii="Arial" w:cs="Arial" w:eastAsia="Arial" w:hAnsi="Arial"/>
          <w:b/>
          <w:bCs/>
          <w:i w:val="false"/>
          <w:iCs w:val="false"/>
          <w:color w:val="1B4F8C"/>
          <w:sz w:val="36"/>
          <w:szCs w:val="36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1B4F8C"/>
          <w:sz w:val="34"/>
          <w:szCs w:val="34"/>
        </w:rPr>
        <w:t xml:space="preserve">02  项目概览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AI 实战训练营是一套三阶梯线下课程产品，覆盖青少年与职场双赛道，以「人手一台 MacBook · 全程实操 · 带走真实成品」为核心卖点，通过已有的学校、培训机构与商学院渠道快速放量。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000"/>
        <w:gridCol w:w="1960"/>
        <w:gridCol w:w="17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课程名称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时长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定价（青少年）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定价（职场）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商业定位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一阶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 破界营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7天/2天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¥6,800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¥3,980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引流款 · 口碑入口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二阶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 造物营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7天/3天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¥19,800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¥9,800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主力营收款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三阶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 掌舵营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7天/3天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¥39,800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¥19,800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高客单价利润款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注：青少年版为 7 天沉浸式营地形式，职场版为精华浓缩版，单价更低但时效更高、转化更快。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Bdr>
          <w:bottom w:val="single" w:color="1B4F8C" w:sz="10" w:space="6"/>
        </w:pBdr>
        <w:spacing w:after="160" w:before="560"/>
      </w:pPr>
      <w:r>
        <w:rPr>
          <w:rFonts w:ascii="Arial" w:cs="Arial" w:eastAsia="Arial" w:hAnsi="Arial"/>
          <w:b/>
          <w:bCs/>
          <w:i w:val="false"/>
          <w:iCs w:val="false"/>
          <w:color w:val="1B4F8C"/>
          <w:sz w:val="36"/>
          <w:szCs w:val="36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1B4F8C"/>
          <w:sz w:val="34"/>
          <w:szCs w:val="34"/>
        </w:rPr>
        <w:t xml:space="preserve">03  核心竞争力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竞争维度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市场现有产品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AI 实战训练营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教学方式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PPT 讲解 + 演示为主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人手 MacBook · 全程上机实操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课程成果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证书 + 笔记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真实可用的成品（网站/视频/系统）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讲师背景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培训师讲 AI 知识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 从业者 / 研究者教实战经验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渠道获客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依赖广告投放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学校 + 机构 + 商学院，渠道已通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产品体系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单次课程居多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三阶漏斗，持续复购升阶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青少年适配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通用内容，无场景化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全程绑定学习 / 科创场景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职场适配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泛泛而谈效率提升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对接真实岗位痛点，当场跑通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1B4F8C" w:sz="10" w:space="6"/>
        </w:pBdr>
        <w:spacing w:after="160" w:before="560"/>
      </w:pPr>
      <w:r>
        <w:rPr>
          <w:rFonts w:ascii="Arial" w:cs="Arial" w:eastAsia="Arial" w:hAnsi="Arial"/>
          <w:b/>
          <w:bCs/>
          <w:i w:val="false"/>
          <w:iCs w:val="false"/>
          <w:color w:val="1B4F8C"/>
          <w:sz w:val="36"/>
          <w:szCs w:val="36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1B4F8C"/>
          <w:sz w:val="34"/>
          <w:szCs w:val="34"/>
        </w:rPr>
        <w:t xml:space="preserve">04  商业模式与收入预测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收入来源结构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收入类型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预计占比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课程学费（主营）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三阶课程学员直接付费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65%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渠道分成（合作方引流）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机构/商学院导流学员，按比例分成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企业内训定制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企业团购 / 定向内训，溢价空间大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社群会员续费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结营后分级社群年费 / 技术支持服务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工具推广佣金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合作 AI 工具平台的推荐返佣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3%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三年收入预测（保守估算）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以下基于单城市起步，第一年以重庆为大本营，第二年扩展 2-3 城，第三年形成全国连锁或授权体系。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第一年（验证期）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第二年（扩张期）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第三年（规模期）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青少年一阶场次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12 场 × 20 人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30 场 × 25 人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80 场 × 30 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青少年一阶营收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¥163.2万（6800×24）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¥510万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¥1,632万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青少年升阶转化率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20% → 二阶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25% → 二阶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30% → 二阶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职场端营收（含商学院）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¥80万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¥300万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¥900万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企业内训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¥20万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¥120万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¥500万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年度总营收（预测）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≈ ¥300万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≈ ¥1,000万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≈ ¥3,000万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净利润率（预计）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15-20%（爬坡期）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25-30%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35%+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净利润（预测）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¥45-60万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¥250-300万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¥1,050万+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18"/>
          <w:szCs w:val="18"/>
        </w:rPr>
        <w:t xml:space="preserve">⚠ 以上为保守预测，不含品牌授权、课程知识产权出售等额外收益渠道。实际表现受渠道开拓速度影响。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Bdr>
          <w:bottom w:val="single" w:color="1B4F8C" w:sz="10" w:space="6"/>
        </w:pBdr>
        <w:spacing w:after="160" w:before="560"/>
      </w:pPr>
      <w:r>
        <w:rPr>
          <w:rFonts w:ascii="Arial" w:cs="Arial" w:eastAsia="Arial" w:hAnsi="Arial"/>
          <w:b/>
          <w:bCs/>
          <w:i w:val="false"/>
          <w:iCs w:val="false"/>
          <w:color w:val="1B4F8C"/>
          <w:sz w:val="36"/>
          <w:szCs w:val="36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1B4F8C"/>
          <w:sz w:val="34"/>
          <w:szCs w:val="34"/>
        </w:rPr>
        <w:t xml:space="preserve">05  资金需求与使用计划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本轮融资目标：</w:t>
      </w:r>
      <w:r>
        <w:rPr>
          <w:rFonts w:ascii="Arial" w:cs="Arial" w:eastAsia="Arial" w:hAnsi="Arial"/>
          <w:b/>
          <w:bCs/>
          <w:i w:val="false"/>
          <w:iCs w:val="false"/>
          <w:color w:val="1B4F8C"/>
          <w:sz w:val="26"/>
          <w:szCs w:val="26"/>
        </w:rPr>
        <w:t xml:space="preserve">¥ 50 - 80 万人民币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（资金方）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用于首批城市落地启动，覆盖设备采购、运营储备与首轮市场验证。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用途类别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金额（万元）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占比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MacBook 设备采购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15-20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25-28%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10-15 台教学用机，一次性投入，长期使用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场地 &amp; 装修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8-12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12-16%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首营地租赁、基础装修、教学设备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课程研发 &amp; 物料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6-8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8-10%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学员手册、工具礼包、证书、素材包等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市场推广 &amp; 招生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15-20%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渠道建设、本地推广、首批学员获取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人员储备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8-12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10-15%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助教团队、运营人员 3 个月薪资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运营流动资金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8-13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12-16%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日常运营、意外储备、工具账号等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合计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55-80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建议融资区间：60 万（稳健）/ 80 万（充裕）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1B4F8C" w:sz="10" w:space="6"/>
        </w:pBdr>
        <w:spacing w:after="160" w:before="560"/>
      </w:pPr>
      <w:r>
        <w:rPr>
          <w:rFonts w:ascii="Arial" w:cs="Arial" w:eastAsia="Arial" w:hAnsi="Arial"/>
          <w:b/>
          <w:bCs/>
          <w:i w:val="false"/>
          <w:iCs w:val="false"/>
          <w:color w:val="1B4F8C"/>
          <w:sz w:val="36"/>
          <w:szCs w:val="36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1B4F8C"/>
          <w:sz w:val="34"/>
          <w:szCs w:val="34"/>
        </w:rPr>
        <w:t xml:space="preserve">06  融资结构 A：资金方（股权投资）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资金方以股权形式入股，分享公司长期增长收益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股权结构建议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股东构成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持股比例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创始团队（你方）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70 - 75%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保留绝对控制权，确保运营决策独立性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资金投资方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15 - 20%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对应本轮 60-80 万出资，享有分红权与退出权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预留期权池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5 - 10%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用于未来核心员工激励、战略合作方引入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估值参考依据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B4F8C" w:sz="1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C"/>
                <w:sz w:val="21"/>
                <w:szCs w:val="21"/>
              </w:rPr>
              <w:t xml:space="preserve">当前估值区间建议：300 - 400 万元（天使轮 Pre-A）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以 60 万融资换取 15-20% 股权测算，对应整体估值 300-400 万。依据：已有完整产品体系 + 渠道资源 + 团队实战能力，不含渠道的纯知识类培训项目同等阶段通常估值 200-500 万之间。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资金方权益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按持股比例享有年度税后净利润分红权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每季度财务报告知情权（营收、成本、利润数据）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重大决策（超过 50 万的支出/战略合作）知情权与建议权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优先参与后续融资轮次（同等条件下优先跟投权）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进入方式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方式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一次性出资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签订投资协议后一次性划款，适合信任度高、长期看好的合作方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分批出资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按里程碑分两期出资（各 50%），达到约定节点后拨付第二笔，降低双方风险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退出机制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退出路径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股权回购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第 3 年起，公司按协议价回购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回购价 = 出资额 × (1 + 年化 15-20%)，保障资金方基础回报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股权转让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经创始团队同意，向第三方转让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须经创始方优先购买权审核，确保股东结构稳定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分红退出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累计分红达到出资额 2 倍后可协商退出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适合不急于退出、更看重现金流的资金方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并购/上市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公司被收购或挂牌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资金方按持股比例享有退出收益，无锁定期额外要求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8C"/>
          <w:sz w:val="22"/>
          <w:szCs w:val="22"/>
        </w:rPr>
        <w:t xml:space="preserve">建议参考退出周期：18 - 36 个月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第一年完成产品验证与首城市盈利，第二年实现多城市复制后具备一定估值支撑，届时回购或引入下一轮机构投资人对赌退出均有可行性。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Bdr>
          <w:bottom w:val="single" w:color="1B4F8C" w:sz="10" w:space="6"/>
        </w:pBdr>
        <w:spacing w:after="160" w:before="560"/>
      </w:pPr>
      <w:r>
        <w:rPr>
          <w:rFonts w:ascii="Arial" w:cs="Arial" w:eastAsia="Arial" w:hAnsi="Arial"/>
          <w:b/>
          <w:bCs/>
          <w:i w:val="false"/>
          <w:iCs w:val="false"/>
          <w:color w:val="1B4F8C"/>
          <w:sz w:val="36"/>
          <w:szCs w:val="36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1B4F8C"/>
          <w:sz w:val="34"/>
          <w:szCs w:val="34"/>
        </w:rPr>
        <w:t xml:space="preserve">07  融资结构 B：资源方（利润 / 收入分成）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资源方以渠道、学员、场地等资源入局，按实际贡献分享收益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资源方类型与分成结构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5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资源方类型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提供的核心资源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分成方式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分成比例参考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学校 / 培训机构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学员来源 + 场地 + 品牌背书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按实际到课学员课程费分成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课程收入的 20 - 30%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商学院 / 总裁班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企业主学员 + 渠道背书 + 传播影响力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按引流成交学员课程费分成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课程收入的 15 - 25%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场地合作方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营地场地长期使用权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减免租金 / 按营收比例分成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营收的 5 - 10% 或固定减免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企业合作方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批量员工培训采购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按企业团购总金额返点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合同金额的 8 - 12%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个人转介绍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带来成交学员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按成交订单一次性奖励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订单金额的 5 - 8%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资源方合作进入方式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6B3C" w:sz="1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21"/>
                <w:szCs w:val="21"/>
              </w:rPr>
              <w:t xml:space="preserve">签订合作协议，明确资源承诺与分成计算规则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资源方无需出资，以书面协议约定：①资源方承诺提供的具体资源（学员数/场次/场地）；②分成起算条件（学员到课确认后）；③结算周期（建议按月或按营结算）；④保密与竞业条款。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资源方权益保障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每月出具学员到课明细与收入结算单，数据透明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优先享有续期合作权（同等条件下优先续签）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特定条件下可转换为股权参与方（由双方协商）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重要资源方可冠名特定场次（如「×× 商学院专属 AI 营」）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资源方退出机制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退出场景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合作期满自然终止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按协议期限到期，双方无续签义务，结清最终账期分成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资源方主动退出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提前 60 天书面通知，完成在途学员服务后结清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资源方无法履约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协议约定违约补偿标准（已引流未到课学员的处理规则）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升级为股权方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资源方可将累计分成收益折算入股，按届时估值协商比例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1B4F8C" w:sz="10" w:space="6"/>
        </w:pBdr>
        <w:spacing w:after="160" w:before="560"/>
      </w:pPr>
      <w:r>
        <w:rPr>
          <w:rFonts w:ascii="Arial" w:cs="Arial" w:eastAsia="Arial" w:hAnsi="Arial"/>
          <w:b/>
          <w:bCs/>
          <w:i w:val="false"/>
          <w:iCs w:val="false"/>
          <w:color w:val="1B4F8C"/>
          <w:sz w:val="36"/>
          <w:szCs w:val="36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1B4F8C"/>
          <w:sz w:val="34"/>
          <w:szCs w:val="34"/>
        </w:rPr>
        <w:t xml:space="preserve">08  里程碑与执行时间线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7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时间节点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核心目标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关键动作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启动期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0 - 3 个月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完成资金到位 + 首营地落地 + 第一期开营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设备采购·课程最终定稿·招生渠道激活·第一期学员招募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验证期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3 - 6 个月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完成 3-5 期一阶营，验证产品力与口碑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收集学员反馈·优化课程节奏·测试升阶转化率·拿到第一批真实案例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放量期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6 - 12 个月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二阶、三阶产品同步上线，月营收突破 20 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扩展合作机构数量·启动职场赛道·商学院合作落地交付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扩张期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12 - 24 个月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覆盖 2-3 个城市，年营收破 1000 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城市复制 SOP·招募城市合伙人·引入下一轮战略资源方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成熟期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24 - 36 个月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形成全国连锁或品牌授权体系，具备退出/融资条件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品牌授权探索·课程知识产权沉淀·机构融资或上市挂牌准备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Bdr>
          <w:bottom w:val="single" w:color="1B4F8C" w:sz="10" w:space="6"/>
        </w:pBdr>
        <w:spacing w:after="160" w:before="560"/>
      </w:pPr>
      <w:r>
        <w:rPr>
          <w:rFonts w:ascii="Arial" w:cs="Arial" w:eastAsia="Arial" w:hAnsi="Arial"/>
          <w:b/>
          <w:bCs/>
          <w:i w:val="false"/>
          <w:iCs w:val="false"/>
          <w:color w:val="1B4F8C"/>
          <w:sz w:val="36"/>
          <w:szCs w:val="36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1B4F8C"/>
          <w:sz w:val="34"/>
          <w:szCs w:val="34"/>
        </w:rPr>
        <w:t xml:space="preserve">09  风险提示与应对策略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4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风险类型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风险描述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5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应对策略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招生风险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首期学员数量不足，营收低于预期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先激活商学院渠道（学员现成），青少年侧先聚焦单城市单机构，确保首期满员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工具迭代风险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 工具快速更新，课程内容滞后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团队本身是 AI 从业者，持续跟进工具更新；课程采用「工具迭代模块」设计，替换成本低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竞争风险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大厂或资本介入同类产品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差异化在于「实战出成品 + 小班 MacBook」，这是大厂线上课无法复制的体验优势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交付质量风险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助教能力参差，学员体验不稳定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标准化 SOP + 助教培训认证 + 学员满意度即时反馈机制，不达标不进下期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合规风险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教育行业资质、数据安全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提前咨询当地教育主管部门，课程中加入 AI 伦理与数据安全模块，规避风险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Bdr>
          <w:bottom w:val="single" w:color="1B4F8C" w:sz="10" w:space="6"/>
        </w:pBdr>
        <w:spacing w:after="160" w:before="560"/>
      </w:pPr>
      <w:r>
        <w:rPr>
          <w:rFonts w:ascii="Arial" w:cs="Arial" w:eastAsia="Arial" w:hAnsi="Arial"/>
          <w:b/>
          <w:bCs/>
          <w:i w:val="false"/>
          <w:iCs w:val="false"/>
          <w:color w:val="1B4F8C"/>
          <w:sz w:val="36"/>
          <w:szCs w:val="36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1B4F8C"/>
          <w:sz w:val="34"/>
          <w:szCs w:val="34"/>
        </w:rPr>
        <w:t xml:space="preserve">10  我们在寻找什么样的合作伙伴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20"/>
        <w:gridCol w:w="468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资金投资方  —  我们期待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认可 AI 教育赛道长期价值，不追求短期套利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出资规模 30 万起，可一次性或分批到位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尊重创始团队的运营决策权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有本地商业资源者优先（可兼资源方）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接受 18-36 个月的合理退出周期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2"/>
                <w:szCs w:val="12"/>
              </w:rPr>
              <w:t xml:space="preserve"/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我们能给到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季度财务透明报告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股权保障 + 分红权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协议约定的回购保底条款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后续轮次优先跟投权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2"/>
                <w:szCs w:val="12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资源合作方  —  我们期待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掌握 50 人以上稳定学员 / 客户资源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在教育、培训、商学院领域有持续运营能力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认可「实战出成品」的产品理念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愿意长期合作，共同打造区域口碑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有场地资源者可叠加场地合作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2"/>
                <w:szCs w:val="12"/>
              </w:rPr>
              <w:t xml:space="preserve"/>
            </w:r>
          </w:p>
          <w:p>
            <w:pPr>
              <w:spacing w:after="8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我们能给到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透明的分成机制（月结）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专属合作品牌背书与联合营销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优先续签权与区域独家保护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后期可转换为股权参与方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r>
        <w:br w:type="page"/>
      </w:r>
    </w:p>
    <w:p>
      <w:pPr>
        <w:pBdr>
          <w:bottom w:val="single" w:color="1B4F8C" w:sz="10" w:space="6"/>
        </w:pBdr>
        <w:spacing w:after="160" w:before="560"/>
      </w:pPr>
      <w:r>
        <w:rPr>
          <w:rFonts w:ascii="Arial" w:cs="Arial" w:eastAsia="Arial" w:hAnsi="Arial"/>
          <w:b/>
          <w:bCs/>
          <w:i w:val="false"/>
          <w:iCs w:val="false"/>
          <w:color w:val="1B4F8C"/>
          <w:sz w:val="36"/>
          <w:szCs w:val="36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1B4F8C"/>
          <w:sz w:val="34"/>
          <w:szCs w:val="34"/>
        </w:rPr>
        <w:t xml:space="preserve">11  认证体系与行业协会生态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我们不只是做课程，更在构建一个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具有长期价值的 AI 人才认证生态。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每一位结营学员获得的不只是结课证书，而是一张在求职、晋升、创业中可持续兑现价值的行业身份凭证。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35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AI 数字人才发展协会（筹）— 连接学员、企业与行业的价值枢纽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协会定位与核心职能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4A235A" w:sz="1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21"/>
                <w:szCs w:val="21"/>
              </w:rPr>
              <w:t xml:space="preserve">定位：行业认证机构 + 人才连接平台 + 赛事组织主体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以协会或专业机构形式运营，向政府、企业、高校寻求背书合作，逐步将 AI 实战训练营结业证书打造为行业内具有辨识度的资质标志。协会同时作为学员社区、赛事主办方和企业人才对接平台的运营主体。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三阶证书价值体系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100"/>
        <w:gridCol w:w="1760"/>
        <w:gridCol w:w="27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证书等级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对应课程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证书名称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含金量定位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学员可用场景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Level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 破界营（一阶）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 数字素养认证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入门级 · 广覆盖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简历加分项 · 面试谈资 · 朋友圈展示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Level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 造物营（二阶）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 产品实践认证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进阶级 · 有项目背书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求职竞争力 · 薪资谈判筹码 · 企业内推优先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Level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 掌舵营（三阶）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AI 系统工程师认证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高阶级 · 稀缺性强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高薪岗位敲门砖 · 创业背书 · 企业采购决策参考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不同人群的证书价值兑现路径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60"/>
        <w:gridCol w:w="2660"/>
        <w:gridCol w:w="264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人群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短期价值（0-1年）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中期价值（1-3年）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长期价值（3年+）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在读学生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综合素质评定加分项 / 科技特长材料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高校申请 / 竞赛推荐 / 夏令营优先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就业面试竞争力 / AI 岗位优先录取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职场人士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绩效考核 AI 能力背书 / 内部晋升材料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跳槽谈薪资本 / 项目负责人候选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企业 AI 顾问 / 自主创业信用背书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企业主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向合作方展示数字化能力 / 路演材料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企业数字化转型背书 / 行业协会资格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行业意见领袖 / 协会理事 / 导师资格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协会对投资方的商业价值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协会会员年费制度：学员结营后可付费加入协会，享有持续更新权益，形成稳定经常性收入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企业会员制度：企业加入协会可优先对接 AI 人才，向企业收取年度会员费或人才推荐服务费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协会背书提升课程溢价：有行业协会背书的课程定价可提升 20-30%，直接拉升客单价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政府合作入口：以协会身份更易申请地方政府数字经济、职业技能培训补贴项目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p>
      <w:pPr>
        <w:pBdr>
          <w:bottom w:val="single" w:color="1B4F8C" w:sz="10" w:space="6"/>
        </w:pBdr>
        <w:spacing w:after="160" w:before="560"/>
      </w:pPr>
      <w:r>
        <w:rPr>
          <w:rFonts w:ascii="Arial" w:cs="Arial" w:eastAsia="Arial" w:hAnsi="Arial"/>
          <w:b/>
          <w:bCs/>
          <w:i w:val="false"/>
          <w:iCs w:val="false"/>
          <w:color w:val="1B4F8C"/>
          <w:sz w:val="36"/>
          <w:szCs w:val="36"/>
        </w:rPr>
        <w:t xml:space="preserve">▌ </w:t>
      </w:r>
      <w:r>
        <w:rPr>
          <w:rFonts w:ascii="Arial" w:cs="Arial" w:eastAsia="Arial" w:hAnsi="Arial"/>
          <w:b/>
          <w:bCs/>
          <w:i w:val="false"/>
          <w:iCs w:val="false"/>
          <w:color w:val="1B4F8C"/>
          <w:sz w:val="34"/>
          <w:szCs w:val="34"/>
        </w:rPr>
        <w:t xml:space="preserve">12  赛事生态体系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赛事是</w:t>
      </w: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课程体系的最强放大器。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 学员通过训练营获得能力，通过赛事获得荣誉与社会认可；赛事本身也是最低成本、最高质量的招生广告，更是协会品牌对外曝光的核心场景。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70D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两条赛事路线并行：参加外部黑客松 + 自主举办品牌赛事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路线一：组织学员参加外部黑客松与行业赛事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5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赛事类型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适配阶段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参赛价值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我方角色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AI 黑客松（科技局/高校主办）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二阶 + 三阶学员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检验成果 · 扩大视野 · 拿奖增加履历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组织参赛 · 提供赛前辅导营（可收费）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青少年 AI 创新大赛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青少年一至三阶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升学加分 · 科创特长证明 · 家长认可度高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备赛培训营 · 团队报名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全国职业技能大赛 AI 赛道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职场二至三阶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职业资质背书 · 企业采购决策参考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定向辅导 + 团队组建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创业类路演大赛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三阶企业主学员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融资机会 · 媒体曝光 · 行业人脉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导师推荐 + 材料辅导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路线二：自主举办品牌赛事（中长期战略）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7770D" w:sz="18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21"/>
                <w:szCs w:val="21"/>
              </w:rPr>
              <w:t xml:space="preserve">目标：用自有赛事把协会品牌打出去，同时形成独立商业收入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自主赛事是协会从培训机构升级为行业组织者的关键一步。主办赛事意味着你定规则、你定标准、你聚集行业资源——这是任何竞争对手都无法简单复制的护城河。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7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赛事名称（建议）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赛制形式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目标规模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商业价值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AI 少年创客挑战赛（青少年旗舰赛事）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线上初赛 + 线下决赛 / 个人团队作品提交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首届 200 人 · 第三届 2000+ 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赛事冠名赞助费 · 媒体曝光 · 招生入口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AI 职场创新大赛（职场年度赛事）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企业 AI 落地案例路演 · 行业评委团点评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首届 50 家企业 · 第三届 500+ 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企业报名费 · 赞助收入 · 行业媒体背书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AI 实战 48H 黑客松（每季度品牌活动）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48 小时限时完成 AI 产品 · 评委现场评审颁奖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每届 100-200 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票务收入 · 赞助收入 · 招生转化最强场景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6"/>
          <w:szCs w:val="26"/>
        </w:rPr>
        <w:t xml:space="preserve">赛事体系对整体商业模式的战略价值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52"/>
                <w:szCs w:val="52"/>
              </w:rPr>
              <w:t xml:space="preserve">招生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最强获客场景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获奖学员是最好的招生案例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235A"/>
                <w:sz w:val="52"/>
                <w:szCs w:val="52"/>
              </w:rPr>
              <w:t xml:space="preserve">收入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赛事独立营收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赞助+报名费+备赛培训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8C"/>
                <w:sz w:val="52"/>
                <w:szCs w:val="52"/>
              </w:rPr>
              <w:t xml:space="preserve">壁垒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生态护城河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课程→协会→赛事完整闭环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AI 的浪潮已经到来  ·  我们正在做那个帮人真正上船的人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欢迎与我们深入探讨合作方案</w:t>
            </w:r>
          </w:p>
        </w:tc>
      </w:tr>
    </w:tbl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2"/>
          <w:szCs w:val="12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7"/>
          <w:szCs w:val="17"/>
        </w:rPr>
        <w:t xml:space="preserve">本计划书中所有财务数据为预测值，不构成投资承诺。最终合作条款以正式协议为准。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60"/>
      <w:outlineLvl w:val="0"/>
    </w:pPr>
    <w:rPr>
      <w:rFonts w:ascii="Arial" w:cs="Arial" w:eastAsia="Arial" w:hAnsi="Arial"/>
      <w:b/>
      <w:bCs/>
      <w:color w:val="1B4F8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2026-06-27T13:40:34.202Z</dcterms:created>
  <dcterms:modified xsi:type="dcterms:W3CDTF">2026-06-27T13:40:34.202Z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