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B55D" w14:textId="77777777" w:rsidR="00BD1DD6" w:rsidRDefault="00BD1DD6" w:rsidP="00BD1DD6">
      <w:pPr>
        <w:autoSpaceDE w:val="0"/>
        <w:autoSpaceDN w:val="0"/>
        <w:adjustRightInd w:val="0"/>
        <w:spacing w:after="0" w:line="240" w:lineRule="auto"/>
        <w:rPr>
          <w:rFonts w:ascii="ProximaNova-Extrabld" w:hAnsi="ProximaNova-Extrabld" w:cs="ProximaNova-Extrabld"/>
          <w:color w:val="666666"/>
          <w:sz w:val="30"/>
          <w:szCs w:val="30"/>
        </w:rPr>
      </w:pPr>
      <w:proofErr w:type="spellStart"/>
      <w:proofErr w:type="gramStart"/>
      <w:r>
        <w:rPr>
          <w:rFonts w:ascii="ProximaNova-Extrabld" w:hAnsi="ProximaNova-Extrabld" w:cs="ProximaNova-Extrabld"/>
          <w:color w:val="666666"/>
          <w:sz w:val="30"/>
          <w:szCs w:val="30"/>
        </w:rPr>
        <w:t>intelligence</w:t>
      </w:r>
      <w:proofErr w:type="spellEnd"/>
      <w:proofErr w:type="gramEnd"/>
    </w:p>
    <w:p w14:paraId="7FB23434" w14:textId="45443E2B" w:rsidR="00BD1DD6" w:rsidRDefault="00BD1DD6" w:rsidP="00BD1DD6">
      <w:pPr>
        <w:autoSpaceDE w:val="0"/>
        <w:autoSpaceDN w:val="0"/>
        <w:adjustRightInd w:val="0"/>
        <w:spacing w:after="0" w:line="240" w:lineRule="auto"/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</w:pPr>
      <w:proofErr w:type="spellStart"/>
      <w:proofErr w:type="gram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beije</w:t>
      </w:r>
      <w:proofErr w:type="spellEnd"/>
      <w:proofErr w:type="gram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,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nlerini yurtd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ışı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ndan belirli aral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klarla, arz ve talep dengesini sa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layacak ileriye d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ö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k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“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forecast</w:t>
      </w:r>
      <w:proofErr w:type="spellEnd"/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”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lar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ile 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belirlerdi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i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tarih aral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ığı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ve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 miktarlar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ile </w:t>
      </w:r>
      <w:proofErr w:type="spellStart"/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retmekter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.</w:t>
      </w:r>
    </w:p>
    <w:p w14:paraId="2670E481" w14:textId="53E575D1" w:rsidR="00BD1DD6" w:rsidRDefault="00BD1DD6" w:rsidP="00BD1DD6">
      <w:pPr>
        <w:autoSpaceDE w:val="0"/>
        <w:autoSpaceDN w:val="0"/>
        <w:adjustRightInd w:val="0"/>
        <w:spacing w:after="0" w:line="240" w:lineRule="auto"/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</w:pPr>
      <w:r>
        <w:rPr>
          <w:rFonts w:ascii="ProximaNova-Regular" w:eastAsia="ProximaNova-Regular" w:hAnsi="ProximaNova-Extrabld" w:cs="ProximaNova-Regular"/>
          <w:color w:val="1155CD"/>
          <w:sz w:val="20"/>
          <w:szCs w:val="20"/>
        </w:rPr>
        <w:t>Bu ba</w:t>
      </w:r>
      <w:r>
        <w:rPr>
          <w:rFonts w:ascii="ProximaNova-Regular" w:eastAsia="ProximaNova-Regular" w:hAnsi="ProximaNova-Extrabld" w:cs="ProximaNova-Regular" w:hint="eastAsia"/>
          <w:color w:val="1155CD"/>
          <w:sz w:val="20"/>
          <w:szCs w:val="20"/>
        </w:rPr>
        <w:t>ğ</w:t>
      </w:r>
      <w:r>
        <w:rPr>
          <w:rFonts w:ascii="ProximaNova-Regular" w:eastAsia="ProximaNova-Regular" w:hAnsi="ProximaNova-Extrabld" w:cs="ProximaNova-Regular"/>
          <w:color w:val="1155CD"/>
          <w:sz w:val="20"/>
          <w:szCs w:val="20"/>
        </w:rPr>
        <w:t>lant</w:t>
      </w:r>
      <w:r>
        <w:rPr>
          <w:rFonts w:ascii="ProximaNova-Regular" w:eastAsia="ProximaNova-Regular" w:hAnsi="ProximaNova-Extrabld" w:cs="ProximaNova-Regular" w:hint="eastAsia"/>
          <w:color w:val="1155CD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1155CD"/>
          <w:sz w:val="20"/>
          <w:szCs w:val="20"/>
        </w:rPr>
        <w:t xml:space="preserve">da 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bulabilece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in 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d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ö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k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manda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, 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beije</w:t>
      </w:r>
      <w:proofErr w:type="spellEnd"/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’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in geriye d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ö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k ayl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k olarak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 bazl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sat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lar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ve d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ö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nem sonu stoklar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g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ö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stermekte. Bu veri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ışığı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nda, 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beije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i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ç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in bir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retim planl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ç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al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man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rica etmekteyiz.</w:t>
      </w:r>
    </w:p>
    <w:p w14:paraId="53FAFECE" w14:textId="77777777" w:rsidR="00BD1DD6" w:rsidRDefault="00BD1DD6" w:rsidP="00BD1DD6">
      <w:pPr>
        <w:autoSpaceDE w:val="0"/>
        <w:autoSpaceDN w:val="0"/>
        <w:adjustRightInd w:val="0"/>
        <w:spacing w:after="0" w:line="240" w:lineRule="auto"/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</w:pP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Regresyon analizi gibi istatiksel </w:t>
      </w:r>
      <w:proofErr w:type="spell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metodlar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proofErr w:type="spell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</w:t>
      </w:r>
      <w:proofErr w:type="gram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kullanman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,</w:t>
      </w:r>
      <w:proofErr w:type="gram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ve bu s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ü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re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ç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leri detayl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 xml:space="preserve"> bir 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ş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ekilde a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çı</w:t>
      </w:r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klaman</w:t>
      </w:r>
      <w:r>
        <w:rPr>
          <w:rFonts w:ascii="ProximaNova-Regular" w:eastAsia="ProximaNova-Regular" w:hAnsi="ProximaNova-Extrabld" w:cs="ProximaNova-Regular" w:hint="eastAsia"/>
          <w:color w:val="000000"/>
          <w:sz w:val="20"/>
          <w:szCs w:val="20"/>
        </w:rPr>
        <w:t>ı</w:t>
      </w:r>
    </w:p>
    <w:p w14:paraId="70C041DE" w14:textId="130C9E93" w:rsidR="00AB4D5D" w:rsidRDefault="00BD1DD6" w:rsidP="00BD1DD6">
      <w:pPr>
        <w:pBdr>
          <w:bottom w:val="single" w:sz="6" w:space="1" w:color="auto"/>
        </w:pBd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</w:pPr>
      <w:proofErr w:type="gramStart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bekliyoruz</w:t>
      </w:r>
      <w:proofErr w:type="gramEnd"/>
      <w:r>
        <w:rPr>
          <w:rFonts w:ascii="ProximaNova-Regular" w:eastAsia="ProximaNova-Regular" w:hAnsi="ProximaNova-Extrabld" w:cs="ProximaNova-Regular"/>
          <w:color w:val="000000"/>
          <w:sz w:val="20"/>
          <w:szCs w:val="20"/>
        </w:rPr>
        <w:t>.</w:t>
      </w:r>
    </w:p>
    <w:p w14:paraId="2B3ED70B" w14:textId="77777777" w:rsidR="00CE760B" w:rsidRDefault="009B487D" w:rsidP="00CE760B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DISCOVER</w:t>
      </w:r>
      <w:r w:rsidR="00CE760B">
        <w:rPr>
          <w:b/>
          <w:bCs/>
          <w:sz w:val="32"/>
          <w:szCs w:val="32"/>
        </w:rPr>
        <w:t xml:space="preserve"> </w:t>
      </w:r>
    </w:p>
    <w:p w14:paraId="51EBD3C9" w14:textId="71C22313" w:rsidR="00B51D32" w:rsidRDefault="00CE760B" w:rsidP="00B51D32">
      <w:pPr>
        <w:pStyle w:val="ListeParagraf"/>
        <w:numPr>
          <w:ilvl w:val="1"/>
          <w:numId w:val="3"/>
        </w:numPr>
        <w:rPr>
          <w:b/>
          <w:bCs/>
          <w:sz w:val="32"/>
          <w:szCs w:val="32"/>
        </w:rPr>
      </w:pPr>
      <w:proofErr w:type="spellStart"/>
      <w:r w:rsidRPr="00CE760B">
        <w:rPr>
          <w:b/>
          <w:bCs/>
          <w:sz w:val="32"/>
          <w:szCs w:val="32"/>
        </w:rPr>
        <w:t>Discovering</w:t>
      </w:r>
      <w:proofErr w:type="spellEnd"/>
      <w:r w:rsidRPr="00CE760B">
        <w:rPr>
          <w:b/>
          <w:bCs/>
          <w:sz w:val="32"/>
          <w:szCs w:val="32"/>
        </w:rPr>
        <w:t xml:space="preserve"> </w:t>
      </w:r>
      <w:proofErr w:type="spellStart"/>
      <w:r w:rsidRPr="00CE760B">
        <w:rPr>
          <w:b/>
          <w:bCs/>
          <w:sz w:val="32"/>
          <w:szCs w:val="32"/>
        </w:rPr>
        <w:t>The</w:t>
      </w:r>
      <w:proofErr w:type="spellEnd"/>
      <w:r w:rsidRPr="00CE760B">
        <w:rPr>
          <w:b/>
          <w:bCs/>
          <w:sz w:val="32"/>
          <w:szCs w:val="32"/>
        </w:rPr>
        <w:t xml:space="preserve"> Data</w:t>
      </w:r>
    </w:p>
    <w:p w14:paraId="1FBC37B2" w14:textId="5BE9C2FD" w:rsidR="00B51D32" w:rsidRDefault="00B51D32" w:rsidP="00B51D32">
      <w:pPr>
        <w:pStyle w:val="ListeParagraf"/>
        <w:rPr>
          <w:noProof/>
        </w:rPr>
      </w:pPr>
      <w:r>
        <w:t xml:space="preserve">Bu aşamada </w:t>
      </w:r>
      <w:proofErr w:type="spellStart"/>
      <w:r>
        <w:t>seaborn</w:t>
      </w:r>
      <w:proofErr w:type="spellEnd"/>
      <w:r>
        <w:t xml:space="preserve"> ve </w:t>
      </w:r>
      <w:proofErr w:type="spellStart"/>
      <w:r>
        <w:t>matplotlib</w:t>
      </w:r>
      <w:proofErr w:type="spellEnd"/>
      <w:r>
        <w:t xml:space="preserve"> gibi görselleştirme kütüphanelerinden faydalandım. Fakat raporumu daha da geç teslim etmek istemediğimden en genel resmi ekleyece</w:t>
      </w:r>
      <w:r>
        <w:rPr>
          <w:noProof/>
        </w:rPr>
        <w:t>ğim.</w:t>
      </w:r>
    </w:p>
    <w:p w14:paraId="3FC88444" w14:textId="1F078AE0" w:rsidR="00B51D32" w:rsidRPr="00B51D32" w:rsidRDefault="00B51D32" w:rsidP="00B51D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FE704C" wp14:editId="54BC3941">
            <wp:extent cx="6858000" cy="2974975"/>
            <wp:effectExtent l="0" t="0" r="0" b="0"/>
            <wp:docPr id="10" name="Resim 10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çizelge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2DC" w14:textId="6FD01E10" w:rsidR="00B51D32" w:rsidRDefault="00B51D32" w:rsidP="00CE760B">
      <w:pPr>
        <w:pStyle w:val="ListeParagraf"/>
        <w:numPr>
          <w:ilvl w:val="1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Discovering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Models</w:t>
      </w:r>
      <w:proofErr w:type="spellEnd"/>
    </w:p>
    <w:p w14:paraId="6D042030" w14:textId="5A3E2232" w:rsidR="00F10990" w:rsidRDefault="00F10990" w:rsidP="00BD1DD6">
      <w:r>
        <w:t xml:space="preserve">Bu aşamada </w:t>
      </w:r>
      <w:proofErr w:type="spellStart"/>
      <w:r>
        <w:t>forecasting</w:t>
      </w:r>
      <w:proofErr w:type="spellEnd"/>
      <w:r>
        <w:t xml:space="preserve"> ile belirlenen tarih aralığı ve ürün miktarları tahminlemesi yapmak için ne gibi modellerin </w:t>
      </w:r>
      <w:proofErr w:type="gramStart"/>
      <w:r>
        <w:t>kullanılabile</w:t>
      </w:r>
      <w:r w:rsidR="008A64AF">
        <w:t>ce</w:t>
      </w:r>
      <w:r>
        <w:t>ğini</w:t>
      </w:r>
      <w:proofErr w:type="gramEnd"/>
      <w:r>
        <w:t xml:space="preserve"> keşfetmeye çalışacağım.</w:t>
      </w:r>
    </w:p>
    <w:p w14:paraId="7AF82B3D" w14:textId="193F3434" w:rsidR="00F10990" w:rsidRDefault="00F10990" w:rsidP="00BD1DD6">
      <w:r>
        <w:t xml:space="preserve">Takip edilen ilk video: </w:t>
      </w:r>
      <w:hyperlink r:id="rId8" w:history="1">
        <w:r w:rsidRPr="00A90CB8">
          <w:rPr>
            <w:rStyle w:val="Kpr"/>
          </w:rPr>
          <w:t>https://www.youtube.com/watch?v=j0eioK5edqg</w:t>
        </w:r>
      </w:hyperlink>
    </w:p>
    <w:p w14:paraId="28C27E64" w14:textId="3EAE95CC" w:rsidR="00F10990" w:rsidRPr="008A10C9" w:rsidRDefault="0092475F" w:rsidP="00BD1DD6">
      <w:pPr>
        <w:rPr>
          <w:b/>
          <w:bCs/>
          <w:sz w:val="24"/>
          <w:szCs w:val="24"/>
          <w:u w:val="single"/>
        </w:rPr>
      </w:pPr>
      <w:r w:rsidRPr="008A10C9">
        <w:rPr>
          <w:b/>
          <w:bCs/>
          <w:sz w:val="24"/>
          <w:szCs w:val="24"/>
          <w:u w:val="single"/>
        </w:rPr>
        <w:t>PROPHET MODEL</w:t>
      </w:r>
    </w:p>
    <w:p w14:paraId="37BABA59" w14:textId="4F3D526D" w:rsidR="00F10990" w:rsidRDefault="00F10990" w:rsidP="00F10990">
      <w:pPr>
        <w:pStyle w:val="ListeParagraf"/>
        <w:numPr>
          <w:ilvl w:val="0"/>
          <w:numId w:val="1"/>
        </w:numPr>
      </w:pPr>
      <w:proofErr w:type="spellStart"/>
      <w:r>
        <w:t>Facebook’s</w:t>
      </w:r>
      <w:proofErr w:type="spellEnd"/>
      <w:r>
        <w:t xml:space="preserve"> model</w:t>
      </w:r>
    </w:p>
    <w:p w14:paraId="4A4F6232" w14:textId="77777777" w:rsidR="00F10990" w:rsidRDefault="00F10990" w:rsidP="00F10990">
      <w:pPr>
        <w:pStyle w:val="ListeParagraf"/>
        <w:numPr>
          <w:ilvl w:val="0"/>
          <w:numId w:val="1"/>
        </w:numPr>
      </w:pPr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</w:p>
    <w:p w14:paraId="7E9007D2" w14:textId="41ADE6AC" w:rsidR="00F10990" w:rsidRDefault="00F10990" w:rsidP="00F10990">
      <w:pPr>
        <w:pStyle w:val="ListeParagraf"/>
        <w:numPr>
          <w:ilvl w:val="0"/>
          <w:numId w:val="1"/>
        </w:numPr>
      </w:pPr>
      <w:proofErr w:type="spellStart"/>
      <w:proofErr w:type="gramStart"/>
      <w:r>
        <w:t>very</w:t>
      </w:r>
      <w:proofErr w:type="spellEnd"/>
      <w:proofErr w:type="gram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additive</w:t>
      </w:r>
      <w:proofErr w:type="spellEnd"/>
      <w:r>
        <w:t xml:space="preserve"> model </w:t>
      </w:r>
    </w:p>
    <w:p w14:paraId="76BD1CBD" w14:textId="043B59EB" w:rsidR="00F10990" w:rsidRDefault="00F10990" w:rsidP="00F10990">
      <w:pPr>
        <w:pStyle w:val="ListeParagraf"/>
        <w:numPr>
          <w:ilvl w:val="0"/>
          <w:numId w:val="2"/>
        </w:numPr>
      </w:pPr>
      <w:proofErr w:type="spellStart"/>
      <w:proofErr w:type="gramStart"/>
      <w:r>
        <w:t>additive</w:t>
      </w:r>
      <w:proofErr w:type="spellEnd"/>
      <w:proofErr w:type="gramEnd"/>
      <w:r>
        <w:t xml:space="preserve"> model</w:t>
      </w:r>
      <w:r w:rsidR="00806D17">
        <w:t>(toplamsal model): istatistikteki parametrik olmayan regresyon yöntemi</w:t>
      </w:r>
    </w:p>
    <w:p w14:paraId="06501275" w14:textId="73F544DD" w:rsidR="00DD0829" w:rsidRDefault="00DD0829" w:rsidP="00F10990">
      <w:pPr>
        <w:pStyle w:val="ListeParagraf"/>
        <w:numPr>
          <w:ilvl w:val="0"/>
          <w:numId w:val="2"/>
        </w:numPr>
      </w:pPr>
      <w:proofErr w:type="spellStart"/>
      <w:proofErr w:type="gramStart"/>
      <w:r>
        <w:t>simple</w:t>
      </w:r>
      <w:proofErr w:type="spellEnd"/>
      <w:proofErr w:type="gram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GLM(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model), GAM(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model)</w:t>
      </w:r>
    </w:p>
    <w:p w14:paraId="201FFF5F" w14:textId="7DC9EB53" w:rsidR="00806D17" w:rsidRDefault="00806D17" w:rsidP="00806D17">
      <w:pPr>
        <w:pStyle w:val="ListeParagraf"/>
        <w:ind w:left="1080"/>
      </w:pPr>
      <w:r>
        <w:t>Bu terimleri de görmüşken göz atalım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860FC3" w14:textId="0E9D728E" w:rsidR="00DD0829" w:rsidRDefault="00000000" w:rsidP="00DD0829">
      <w:pPr>
        <w:pStyle w:val="ListeParagraf"/>
        <w:ind w:left="1080"/>
      </w:pPr>
      <w:hyperlink r:id="rId9" w:history="1">
        <w:r w:rsidR="00DD0829" w:rsidRPr="00A90CB8">
          <w:rPr>
            <w:rStyle w:val="Kpr"/>
          </w:rPr>
          <w:t>https://aktuerdunyasi.wordpress.com/2018/02/11/giris-gelisme-sonuc-basit-regresyon-glm-gam/</w:t>
        </w:r>
      </w:hyperlink>
    </w:p>
    <w:p w14:paraId="4EA1C771" w14:textId="4D55B9E1" w:rsidR="00DD0829" w:rsidRDefault="00DD0829" w:rsidP="00DD0829">
      <w:r>
        <w:rPr>
          <w:noProof/>
        </w:rPr>
        <w:lastRenderedPageBreak/>
        <w:drawing>
          <wp:inline distT="0" distB="0" distL="0" distR="0" wp14:anchorId="15398D44" wp14:editId="5BED183B">
            <wp:extent cx="5610225" cy="1638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CA45" w14:textId="77777777" w:rsidR="00DD0829" w:rsidRDefault="00DD0829" w:rsidP="00DD0829">
      <w:r>
        <w:rPr>
          <w:noProof/>
        </w:rPr>
        <w:drawing>
          <wp:inline distT="0" distB="0" distL="0" distR="0" wp14:anchorId="5EF22F95" wp14:editId="0C18532E">
            <wp:extent cx="5248275" cy="24669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75C" w14:textId="5CB4DE2C" w:rsidR="00DD0829" w:rsidRDefault="00DD0829" w:rsidP="00DD0829">
      <w:r>
        <w:t xml:space="preserve">Görselde </w:t>
      </w:r>
      <w:proofErr w:type="spellStart"/>
      <w:r>
        <w:t>smoothlaştırılmış</w:t>
      </w:r>
      <w:proofErr w:type="spellEnd"/>
      <w:r>
        <w:t xml:space="preserve"> yani gürültüden arındırılmış iki değişkenin grafiği var. Sağdaki grafik lineere oldukça yakın olduğundan GLM ile modellenebilir. Fakat soldaki için GAM kullanılmalıdır. Örnekten </w:t>
      </w:r>
      <w:r w:rsidR="00806D17">
        <w:t xml:space="preserve">de çıkarılacağı üzere GLM ile GAM arasındaki en önemli fark (GAM; </w:t>
      </w:r>
      <w:proofErr w:type="spellStart"/>
      <w:r w:rsidR="00806D17">
        <w:t>GLM’nin</w:t>
      </w:r>
      <w:proofErr w:type="spellEnd"/>
      <w:r w:rsidR="00806D17">
        <w:t xml:space="preserve"> geliştirilmiş hali) </w:t>
      </w:r>
      <w:proofErr w:type="spellStart"/>
      <w:r w:rsidR="00806D17" w:rsidRPr="00806D17">
        <w:rPr>
          <w:highlight w:val="yellow"/>
        </w:rPr>
        <w:t>GAM’ın</w:t>
      </w:r>
      <w:proofErr w:type="spellEnd"/>
      <w:r w:rsidR="00806D17" w:rsidRPr="00806D17">
        <w:rPr>
          <w:highlight w:val="yellow"/>
        </w:rPr>
        <w:t xml:space="preserve"> modellemesinde kullanılan değişkenlerin doğrusal yapıya sahip olmayabiliyor olmasıdır</w:t>
      </w:r>
      <w:r w:rsidR="00806D17" w:rsidRPr="00806D17">
        <w:t>.</w:t>
      </w:r>
    </w:p>
    <w:p w14:paraId="1CD7F1BD" w14:textId="26B47C25" w:rsidR="00F10990" w:rsidRDefault="0092475F" w:rsidP="00BD1DD6">
      <w:proofErr w:type="spellStart"/>
      <w:r>
        <w:t>Prophet</w:t>
      </w:r>
      <w:proofErr w:type="spellEnd"/>
      <w:r>
        <w:t xml:space="preserve"> Modelinin detaylarına dönelim:</w:t>
      </w:r>
    </w:p>
    <w:p w14:paraId="750B5C86" w14:textId="61A24288" w:rsidR="0092475F" w:rsidRDefault="0092475F" w:rsidP="00BD1DD6">
      <w:proofErr w:type="spellStart"/>
      <w:r>
        <w:t>The</w:t>
      </w:r>
      <w:proofErr w:type="spellEnd"/>
      <w:r>
        <w:t xml:space="preserve"> </w:t>
      </w:r>
      <w:proofErr w:type="spellStart"/>
      <w:r>
        <w:t>Prophet</w:t>
      </w:r>
      <w:proofErr w:type="spellEnd"/>
      <w:r>
        <w:t xml:space="preserve"> Model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28DF4DD3" w14:textId="7A4E42B1" w:rsidR="0092475F" w:rsidRDefault="0092475F" w:rsidP="00BD1DD6">
      <w:r>
        <w:rPr>
          <w:noProof/>
        </w:rPr>
        <w:drawing>
          <wp:inline distT="0" distB="0" distL="0" distR="0" wp14:anchorId="529958F8" wp14:editId="5FF6FB68">
            <wp:extent cx="6429375" cy="21336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6A53" w14:textId="47FCC085" w:rsidR="0092475F" w:rsidRDefault="0092475F" w:rsidP="00BD1DD6"/>
    <w:p w14:paraId="46727E57" w14:textId="4D1F8CDC" w:rsidR="008A10C9" w:rsidRDefault="008A10C9" w:rsidP="00BD1DD6">
      <w:proofErr w:type="spellStart"/>
      <w:r>
        <w:t>Prophet</w:t>
      </w:r>
      <w:proofErr w:type="spellEnd"/>
      <w:r>
        <w:t xml:space="preserve"> Modeli için araştırma yaparken </w:t>
      </w:r>
      <w:hyperlink r:id="rId13" w:history="1">
        <w:r w:rsidRPr="00F17E3A">
          <w:rPr>
            <w:rStyle w:val="Kpr"/>
          </w:rPr>
          <w:t>https://towardsdatascience.com/prophet-vs-neuralprophet-fc717ab7a9d8</w:t>
        </w:r>
      </w:hyperlink>
      <w:r>
        <w:t xml:space="preserve"> linki ile ulaşabileceğiniz makaleye denk geldim. Özetle ve bizim yönümüzü değiştirecek olan cümle şu:</w:t>
      </w:r>
    </w:p>
    <w:p w14:paraId="4E6BA67E" w14:textId="053EFAFC" w:rsidR="008A10C9" w:rsidRDefault="008A10C9" w:rsidP="00BD1DD6">
      <w:r>
        <w:rPr>
          <w:noProof/>
        </w:rPr>
        <w:lastRenderedPageBreak/>
        <w:drawing>
          <wp:inline distT="0" distB="0" distL="0" distR="0" wp14:anchorId="06367AC8" wp14:editId="7310EF38">
            <wp:extent cx="6086475" cy="82867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DEF" w14:textId="607E8C9E" w:rsidR="008A10C9" w:rsidRDefault="008A10C9" w:rsidP="00BD1DD6">
      <w:r>
        <w:t xml:space="preserve">Bu sebeple rotamı </w:t>
      </w:r>
      <w:proofErr w:type="spellStart"/>
      <w:r w:rsidRPr="009B487D">
        <w:rPr>
          <w:highlight w:val="yellow"/>
        </w:rPr>
        <w:t>Neural</w:t>
      </w:r>
      <w:proofErr w:type="spellEnd"/>
      <w:r w:rsidRPr="009B487D">
        <w:rPr>
          <w:highlight w:val="yellow"/>
        </w:rPr>
        <w:t xml:space="preserve"> </w:t>
      </w:r>
      <w:proofErr w:type="spellStart"/>
      <w:r w:rsidRPr="009B487D">
        <w:rPr>
          <w:highlight w:val="yellow"/>
        </w:rPr>
        <w:t>Prophet’e</w:t>
      </w:r>
      <w:proofErr w:type="spellEnd"/>
      <w:r>
        <w:t xml:space="preserve"> çevireceğim.</w:t>
      </w:r>
    </w:p>
    <w:p w14:paraId="71E5864D" w14:textId="2360C444" w:rsidR="008A10C9" w:rsidRDefault="009B487D" w:rsidP="008A10C9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Roadmap</w:t>
      </w:r>
      <w:proofErr w:type="spellEnd"/>
    </w:p>
    <w:p w14:paraId="2F51A93B" w14:textId="737C11EA" w:rsidR="008A10C9" w:rsidRDefault="008A10C9" w:rsidP="008A10C9">
      <w:r>
        <w:t xml:space="preserve">Öncelikle verimizi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Prophet</w:t>
      </w:r>
      <w:proofErr w:type="spellEnd"/>
      <w:r>
        <w:t xml:space="preserve"> modeline uygun hale getirmeliyiz. Hem </w:t>
      </w:r>
      <w:proofErr w:type="spellStart"/>
      <w:r>
        <w:t>Prophet</w:t>
      </w:r>
      <w:proofErr w:type="spellEnd"/>
      <w:r>
        <w:t xml:space="preserve"> hem de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Prophet</w:t>
      </w:r>
      <w:proofErr w:type="spellEnd"/>
      <w:r>
        <w:t xml:space="preserve"> modeli eğitilirken bizden iki sütun istiyor. Bu sütunların isimlendirmeleri dahi belirlenmiş bir standartta. Tarih verileri için ‘</w:t>
      </w:r>
      <w:proofErr w:type="spellStart"/>
      <w:r>
        <w:t>ds</w:t>
      </w:r>
      <w:proofErr w:type="spellEnd"/>
      <w:r>
        <w:t xml:space="preserve">’, </w:t>
      </w:r>
      <w:proofErr w:type="spellStart"/>
      <w:r>
        <w:t>forecast</w:t>
      </w:r>
      <w:proofErr w:type="spellEnd"/>
      <w:r>
        <w:t xml:space="preserve"> edilecek veriler için ‘y’ sütunlarına sahip olmalıyız.</w:t>
      </w:r>
    </w:p>
    <w:p w14:paraId="79C845C6" w14:textId="162C9D10" w:rsidR="008A10C9" w:rsidRDefault="008A10C9" w:rsidP="008A10C9">
      <w:r>
        <w:t>Sizlerin iletmiş olduğu veri aşağıdaki şekilde idi:</w:t>
      </w:r>
    </w:p>
    <w:p w14:paraId="48923AF0" w14:textId="4AB52DEC" w:rsidR="008A10C9" w:rsidRDefault="008A10C9" w:rsidP="008A10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9EFB49" wp14:editId="2560AA63">
            <wp:extent cx="4495800" cy="198365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731" cy="19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9393" w14:textId="55A2B139" w:rsidR="004B7661" w:rsidRDefault="004B7661" w:rsidP="008A10C9">
      <w:r>
        <w:t xml:space="preserve">Bu veriye </w:t>
      </w:r>
      <w:proofErr w:type="spellStart"/>
      <w:r>
        <w:t>excel</w:t>
      </w:r>
      <w:proofErr w:type="spellEnd"/>
      <w:r>
        <w:t xml:space="preserve"> üzerinden ve Python ile </w:t>
      </w:r>
      <w:proofErr w:type="spellStart"/>
      <w:proofErr w:type="gramStart"/>
      <w:r>
        <w:t>df.T</w:t>
      </w:r>
      <w:proofErr w:type="spellEnd"/>
      <w:proofErr w:type="gramEnd"/>
      <w:r>
        <w:t xml:space="preserve"> (</w:t>
      </w:r>
      <w:proofErr w:type="spellStart"/>
      <w:r>
        <w:t>transpozların</w:t>
      </w:r>
      <w:proofErr w:type="spellEnd"/>
      <w:r>
        <w:t xml:space="preserve"> alınması) gibi aşamalarla aşağıdaki hale getirdim:</w:t>
      </w:r>
    </w:p>
    <w:p w14:paraId="1EE3AFF0" w14:textId="5D75C254" w:rsidR="004B7661" w:rsidRDefault="004B7661" w:rsidP="008A10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F8EB3F" wp14:editId="4D65A814">
            <wp:extent cx="3228975" cy="34385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3B8" w14:textId="77777777" w:rsidR="004B7661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Bu aşamadan sonrasını paylaşacağım notebook üzerinden takip edebilirsiniz. Model sayesinde kalan aşamalar oldukça basite indirgeniyor. </w:t>
      </w:r>
    </w:p>
    <w:p w14:paraId="1A918AA7" w14:textId="65F460C8" w:rsidR="004B7661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>-Her bir ürününün maskelenerek</w:t>
      </w:r>
      <w:r w:rsidR="00B51D32">
        <w:t xml:space="preserve"> </w:t>
      </w:r>
      <w:proofErr w:type="spellStart"/>
      <w:r w:rsidR="00B51D32">
        <w:t>for</w:t>
      </w:r>
      <w:proofErr w:type="spellEnd"/>
      <w:r w:rsidR="00B51D32">
        <w:t xml:space="preserve"> döngüsü içerisinde</w:t>
      </w:r>
      <w:r>
        <w:t xml:space="preserve"> </w:t>
      </w:r>
      <w:proofErr w:type="spellStart"/>
      <w:r>
        <w:t>ds</w:t>
      </w:r>
      <w:proofErr w:type="spellEnd"/>
      <w:r>
        <w:t xml:space="preserve"> ve y sütunları ile modele aktarılması</w:t>
      </w:r>
    </w:p>
    <w:p w14:paraId="62D5F1B0" w14:textId="3CEDE91B" w:rsidR="004B7661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</w:pPr>
      <w:r>
        <w:lastRenderedPageBreak/>
        <w:t>(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Daily_pad_package_ten</w:t>
      </w:r>
      <w:proofErr w:type="spellEnd"/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 xml:space="preserve"> </w:t>
      </w:r>
      <w:r w:rsidRPr="004B766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tr-TR"/>
        </w:rPr>
        <w:t>=</w:t>
      </w:r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 xml:space="preserve"> </w:t>
      </w:r>
      <w:proofErr w:type="spellStart"/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df</w:t>
      </w:r>
      <w:proofErr w:type="spellEnd"/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[</w:t>
      </w:r>
      <w:proofErr w:type="spellStart"/>
      <w:proofErr w:type="gramStart"/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df</w:t>
      </w:r>
      <w:proofErr w:type="spellEnd"/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[</w:t>
      </w:r>
      <w:proofErr w:type="gramEnd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Product</w:t>
      </w:r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]</w:t>
      </w:r>
      <w:r w:rsidRPr="004B766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tr-TR"/>
        </w:rPr>
        <w:t>==</w:t>
      </w:r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'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 xml:space="preserve">Daily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Pad</w:t>
      </w:r>
      <w:proofErr w:type="spellEnd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Package</w:t>
      </w:r>
      <w:proofErr w:type="spellEnd"/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 xml:space="preserve"> of 10)</w:t>
      </w:r>
      <w:r w:rsidRPr="004B7661"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']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  <w:t>&gt;&gt; maskeleme</w:t>
      </w:r>
    </w:p>
    <w:p w14:paraId="0E148CF9" w14:textId="352E542A" w:rsidR="004B7661" w:rsidRPr="00FA0D30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FA0D30">
        <w:t xml:space="preserve">-Model eğitildikten sonra </w:t>
      </w:r>
      <w:proofErr w:type="spellStart"/>
      <w:r w:rsidRPr="00FA0D30">
        <w:t>forecast</w:t>
      </w:r>
      <w:proofErr w:type="spellEnd"/>
      <w:r w:rsidRPr="00FA0D30">
        <w:t xml:space="preserve"> işlemini gerçekleştirerek geleceğin tahminlenmesi</w:t>
      </w:r>
    </w:p>
    <w:p w14:paraId="4D5FA99F" w14:textId="6B2952BD" w:rsidR="004B7661" w:rsidRPr="004B7661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FA0D30">
        <w:t xml:space="preserve">-Bu aşamaların </w:t>
      </w:r>
      <w:proofErr w:type="spellStart"/>
      <w:r w:rsidRPr="00FA0D30">
        <w:t>matplotlib</w:t>
      </w:r>
      <w:proofErr w:type="spellEnd"/>
      <w:r w:rsidRPr="00FA0D30">
        <w:t xml:space="preserve">, </w:t>
      </w:r>
      <w:proofErr w:type="spellStart"/>
      <w:r w:rsidRPr="00FA0D30">
        <w:t>seaborn</w:t>
      </w:r>
      <w:proofErr w:type="spellEnd"/>
      <w:r w:rsidRPr="00FA0D30">
        <w:t xml:space="preserve"> gibi </w:t>
      </w:r>
      <w:proofErr w:type="spellStart"/>
      <w:r w:rsidRPr="00FA0D30">
        <w:t>visualization</w:t>
      </w:r>
      <w:proofErr w:type="spellEnd"/>
      <w:r w:rsidRPr="00FA0D30">
        <w:t xml:space="preserve"> kütüphaneleri ile </w:t>
      </w:r>
      <w:r w:rsidR="00FA0D30" w:rsidRPr="00FA0D30">
        <w:t>grafiğe dökülmesi</w:t>
      </w:r>
    </w:p>
    <w:p w14:paraId="180797AB" w14:textId="614AF3D2" w:rsidR="004B7661" w:rsidRDefault="004B7661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1378BB4C" w14:textId="77777777" w:rsidR="009B487D" w:rsidRPr="004B7661" w:rsidRDefault="009B487D" w:rsidP="004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tr-TR"/>
        </w:rPr>
      </w:pPr>
    </w:p>
    <w:p w14:paraId="30294B74" w14:textId="46892DFC" w:rsidR="004B7661" w:rsidRDefault="009B487D" w:rsidP="009B487D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Outputs</w:t>
      </w:r>
      <w:proofErr w:type="spellEnd"/>
      <w:r w:rsidR="0041550B">
        <w:rPr>
          <w:b/>
          <w:bCs/>
          <w:sz w:val="32"/>
          <w:szCs w:val="32"/>
        </w:rPr>
        <w:t xml:space="preserve"> Per Product</w:t>
      </w:r>
    </w:p>
    <w:p w14:paraId="17B60440" w14:textId="6556F616" w:rsidR="0041550B" w:rsidRPr="0041550B" w:rsidRDefault="0041550B" w:rsidP="0041550B">
      <w:pPr>
        <w:ind w:left="360"/>
      </w:pPr>
      <w:r w:rsidRPr="0041550B">
        <w:t>Örnek olması adına rapora</w:t>
      </w:r>
      <w:r>
        <w:t xml:space="preserve"> yalnızca bir ürün için çıktılar eklenmiştir. Amaç</w:t>
      </w:r>
      <w:r w:rsidRPr="0041550B">
        <w:t xml:space="preserve"> e</w:t>
      </w:r>
      <w:proofErr w:type="spellStart"/>
      <w:r w:rsidRPr="0041550B">
        <w:t>xcelden</w:t>
      </w:r>
      <w:proofErr w:type="spellEnd"/>
      <w:r w:rsidRPr="0041550B">
        <w:t xml:space="preserve"> ulaşabileceğiniz bilgilerin her bir ürün için neler olduğu</w:t>
      </w:r>
      <w:r>
        <w:t xml:space="preserve">nu göstermektir. Excel dosyası </w:t>
      </w:r>
      <w:proofErr w:type="gramStart"/>
      <w:r>
        <w:t>mail</w:t>
      </w:r>
      <w:proofErr w:type="gramEnd"/>
      <w:r>
        <w:t xml:space="preserve"> ile paylaşılacaktır.</w:t>
      </w:r>
    </w:p>
    <w:p w14:paraId="23CEAC22" w14:textId="4D1546FB" w:rsidR="0041550B" w:rsidRDefault="0041550B" w:rsidP="0041550B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Daily </w:t>
      </w:r>
      <w:proofErr w:type="spellStart"/>
      <w:r>
        <w:rPr>
          <w:b/>
          <w:bCs/>
          <w:sz w:val="32"/>
          <w:szCs w:val="32"/>
        </w:rPr>
        <w:t>Pad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Package</w:t>
      </w:r>
      <w:proofErr w:type="spellEnd"/>
      <w:r>
        <w:rPr>
          <w:b/>
          <w:bCs/>
          <w:sz w:val="32"/>
          <w:szCs w:val="32"/>
        </w:rPr>
        <w:t xml:space="preserve"> of 10)</w:t>
      </w:r>
    </w:p>
    <w:p w14:paraId="72792A1C" w14:textId="274F6FDE" w:rsidR="00B51D32" w:rsidRPr="00B51D32" w:rsidRDefault="00CE760B" w:rsidP="00B51D32">
      <w:pPr>
        <w:pStyle w:val="ListeParagraf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78D0A3" wp14:editId="2FE772F7">
            <wp:extent cx="4086225" cy="25146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041" cy="2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384" w14:textId="2D835C5C" w:rsidR="0041550B" w:rsidRPr="0041550B" w:rsidRDefault="0041550B" w:rsidP="00B51D32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0ECA15" wp14:editId="237AFE8E">
            <wp:extent cx="6667500" cy="20002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CEE6" w14:textId="77777777" w:rsidR="004B7661" w:rsidRPr="008A10C9" w:rsidRDefault="004B7661" w:rsidP="00B51D32">
      <w:pPr>
        <w:rPr>
          <w:b/>
          <w:bCs/>
          <w:sz w:val="32"/>
          <w:szCs w:val="32"/>
        </w:rPr>
      </w:pPr>
    </w:p>
    <w:p w14:paraId="35D832E9" w14:textId="2894771A" w:rsidR="008A10C9" w:rsidRDefault="008A10C9" w:rsidP="00B51D32">
      <w:pPr>
        <w:pStyle w:val="ListeParagraf"/>
      </w:pPr>
    </w:p>
    <w:sectPr w:rsidR="008A10C9" w:rsidSect="00B51D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F068" w14:textId="77777777" w:rsidR="00A11053" w:rsidRDefault="00A11053" w:rsidP="004B7661">
      <w:pPr>
        <w:spacing w:after="0" w:line="240" w:lineRule="auto"/>
      </w:pPr>
      <w:r>
        <w:separator/>
      </w:r>
    </w:p>
  </w:endnote>
  <w:endnote w:type="continuationSeparator" w:id="0">
    <w:p w14:paraId="1782868E" w14:textId="77777777" w:rsidR="00A11053" w:rsidRDefault="00A11053" w:rsidP="004B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Extrab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ProximaNov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1C5E" w14:textId="77777777" w:rsidR="00A11053" w:rsidRDefault="00A11053" w:rsidP="004B7661">
      <w:pPr>
        <w:spacing w:after="0" w:line="240" w:lineRule="auto"/>
      </w:pPr>
      <w:r>
        <w:separator/>
      </w:r>
    </w:p>
  </w:footnote>
  <w:footnote w:type="continuationSeparator" w:id="0">
    <w:p w14:paraId="59644B6A" w14:textId="77777777" w:rsidR="00A11053" w:rsidRDefault="00A11053" w:rsidP="004B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C81"/>
    <w:multiLevelType w:val="hybridMultilevel"/>
    <w:tmpl w:val="B208506C"/>
    <w:lvl w:ilvl="0" w:tplc="B6903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775B"/>
    <w:multiLevelType w:val="hybridMultilevel"/>
    <w:tmpl w:val="3EB89630"/>
    <w:lvl w:ilvl="0" w:tplc="81A867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54F38"/>
    <w:multiLevelType w:val="multilevel"/>
    <w:tmpl w:val="81BEC37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404F6548"/>
    <w:multiLevelType w:val="hybridMultilevel"/>
    <w:tmpl w:val="E62E1BAE"/>
    <w:lvl w:ilvl="0" w:tplc="BF349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958500">
    <w:abstractNumId w:val="0"/>
  </w:num>
  <w:num w:numId="2" w16cid:durableId="1865702988">
    <w:abstractNumId w:val="3"/>
  </w:num>
  <w:num w:numId="3" w16cid:durableId="733547280">
    <w:abstractNumId w:val="2"/>
  </w:num>
  <w:num w:numId="4" w16cid:durableId="115114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5D"/>
    <w:rsid w:val="001C2C31"/>
    <w:rsid w:val="0041550B"/>
    <w:rsid w:val="004B7661"/>
    <w:rsid w:val="005032DD"/>
    <w:rsid w:val="00806D17"/>
    <w:rsid w:val="008A10C9"/>
    <w:rsid w:val="008A64AF"/>
    <w:rsid w:val="0092475F"/>
    <w:rsid w:val="009B487D"/>
    <w:rsid w:val="00A11053"/>
    <w:rsid w:val="00AB4D5D"/>
    <w:rsid w:val="00B51D32"/>
    <w:rsid w:val="00BD1DD6"/>
    <w:rsid w:val="00CE760B"/>
    <w:rsid w:val="00DD0829"/>
    <w:rsid w:val="00F10990"/>
    <w:rsid w:val="00FA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0DE3"/>
  <w15:chartTrackingRefBased/>
  <w15:docId w15:val="{7C0AC43D-02A7-495F-AEF7-171AD77D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099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1099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1099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B76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7661"/>
  </w:style>
  <w:style w:type="paragraph" w:styleId="AltBilgi">
    <w:name w:val="footer"/>
    <w:basedOn w:val="Normal"/>
    <w:link w:val="AltBilgiChar"/>
    <w:uiPriority w:val="99"/>
    <w:unhideWhenUsed/>
    <w:rsid w:val="004B76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7661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B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B766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4B7661"/>
  </w:style>
  <w:style w:type="character" w:customStyle="1" w:styleId="o">
    <w:name w:val="o"/>
    <w:basedOn w:val="VarsaylanParagrafYazTipi"/>
    <w:rsid w:val="004B7661"/>
  </w:style>
  <w:style w:type="character" w:customStyle="1" w:styleId="p">
    <w:name w:val="p"/>
    <w:basedOn w:val="VarsaylanParagrafYazTipi"/>
    <w:rsid w:val="004B7661"/>
  </w:style>
  <w:style w:type="character" w:customStyle="1" w:styleId="s1">
    <w:name w:val="s1"/>
    <w:basedOn w:val="VarsaylanParagrafYazTipi"/>
    <w:rsid w:val="004B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eioK5edqg" TargetMode="External"/><Relationship Id="rId13" Type="http://schemas.openxmlformats.org/officeDocument/2006/relationships/hyperlink" Target="https://towardsdatascience.com/prophet-vs-neuralprophet-fc717ab7a9d8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tuerdunyasi.wordpress.com/2018/02/11/giris-gelisme-sonuc-basit-regresyon-glm-ga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HÜSNA NUR KAYA</dc:creator>
  <cp:keywords/>
  <dc:description/>
  <cp:lastModifiedBy>HÜSNA NUR KAYA</cp:lastModifiedBy>
  <cp:revision>6</cp:revision>
  <dcterms:created xsi:type="dcterms:W3CDTF">2023-03-10T20:36:00Z</dcterms:created>
  <dcterms:modified xsi:type="dcterms:W3CDTF">2023-03-23T16:11:00Z</dcterms:modified>
</cp:coreProperties>
</file>