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50302">
      <w:pPr>
        <w:pStyle w:val="Paper-Title"/>
        <w:spacing w:after="60"/>
      </w:pPr>
      <w:r>
        <w:t>Android Stagefright</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755787">
      <w:pPr>
        <w:pStyle w:val="Author"/>
        <w:spacing w:after="0"/>
        <w:rPr>
          <w:spacing w:val="-2"/>
        </w:rPr>
      </w:pPr>
      <w:r>
        <w:rPr>
          <w:spacing w:val="-2"/>
        </w:rPr>
        <w:lastRenderedPageBreak/>
        <w:t>Logan Bair</w:t>
      </w:r>
    </w:p>
    <w:p w:rsidR="008B197E" w:rsidRDefault="00755787">
      <w:pPr>
        <w:pStyle w:val="Affiliations"/>
        <w:rPr>
          <w:spacing w:val="-2"/>
        </w:rPr>
      </w:pPr>
      <w:r>
        <w:rPr>
          <w:spacing w:val="-2"/>
        </w:rPr>
        <w:t xml:space="preserve">Department of Computer </w:t>
      </w:r>
      <w:r w:rsidR="008C5A48">
        <w:rPr>
          <w:spacing w:val="-2"/>
        </w:rPr>
        <w:t xml:space="preserve">&amp; Information </w:t>
      </w:r>
      <w:r>
        <w:rPr>
          <w:spacing w:val="-2"/>
        </w:rPr>
        <w:t>Science</w:t>
      </w:r>
      <w:r w:rsidR="008C5A48">
        <w:rPr>
          <w:spacing w:val="-2"/>
        </w:rPr>
        <w:t>s</w:t>
      </w:r>
      <w:r>
        <w:rPr>
          <w:spacing w:val="-2"/>
        </w:rPr>
        <w:t xml:space="preserve"> </w:t>
      </w:r>
      <w:r w:rsidR="008B197E">
        <w:rPr>
          <w:spacing w:val="-2"/>
        </w:rPr>
        <w:br/>
      </w:r>
      <w:r w:rsidR="008C5A48">
        <w:rPr>
          <w:spacing w:val="-2"/>
        </w:rPr>
        <w:t>College of Science &amp; Mathematics</w:t>
      </w:r>
      <w:r>
        <w:rPr>
          <w:spacing w:val="-2"/>
        </w:rPr>
        <w:t xml:space="preserve"> </w:t>
      </w:r>
      <w:r w:rsidR="008B197E">
        <w:rPr>
          <w:spacing w:val="-2"/>
        </w:rPr>
        <w:br/>
      </w:r>
      <w:r w:rsidR="008B197E" w:rsidRPr="00F5619A">
        <w:t>T</w:t>
      </w:r>
      <w:r w:rsidR="008C5A48">
        <w:t>owson University</w:t>
      </w:r>
    </w:p>
    <w:p w:rsidR="008B197E" w:rsidRDefault="00755787">
      <w:pPr>
        <w:pStyle w:val="E-Mail"/>
        <w:rPr>
          <w:spacing w:val="-2"/>
        </w:rPr>
      </w:pPr>
      <w:r>
        <w:rPr>
          <w:spacing w:val="-2"/>
        </w:rPr>
        <w:t>Lbair89@gmail.com</w:t>
      </w:r>
    </w:p>
    <w:p w:rsidR="008B197E" w:rsidRDefault="00755787">
      <w:pPr>
        <w:pStyle w:val="Author"/>
        <w:spacing w:after="0"/>
        <w:rPr>
          <w:spacing w:val="-2"/>
        </w:rPr>
      </w:pPr>
      <w:r>
        <w:rPr>
          <w:spacing w:val="-2"/>
        </w:rPr>
        <w:br w:type="column"/>
      </w:r>
      <w:r>
        <w:rPr>
          <w:spacing w:val="-2"/>
        </w:rPr>
        <w:lastRenderedPageBreak/>
        <w:t>Mary Snyder</w:t>
      </w:r>
    </w:p>
    <w:p w:rsidR="008B197E" w:rsidRDefault="008C5A48">
      <w:pPr>
        <w:pStyle w:val="Affiliations"/>
        <w:rPr>
          <w:spacing w:val="-2"/>
        </w:rPr>
      </w:pPr>
      <w:r>
        <w:rPr>
          <w:spacing w:val="-2"/>
        </w:rPr>
        <w:t>Department of Computer &amp; Information Sciences</w:t>
      </w:r>
      <w:r>
        <w:rPr>
          <w:spacing w:val="-2"/>
        </w:rPr>
        <w:br/>
        <w:t>College of Science &amp; Mathematics</w:t>
      </w:r>
      <w:r w:rsidR="008B197E">
        <w:rPr>
          <w:spacing w:val="-2"/>
        </w:rPr>
        <w:br/>
        <w:t>T</w:t>
      </w:r>
      <w:r>
        <w:rPr>
          <w:spacing w:val="-2"/>
        </w:rPr>
        <w:t>owson University</w:t>
      </w:r>
    </w:p>
    <w:p w:rsidR="008B197E" w:rsidRDefault="00755787">
      <w:pPr>
        <w:pStyle w:val="E-Mail"/>
        <w:rPr>
          <w:spacing w:val="-2"/>
        </w:rPr>
      </w:pPr>
      <w:r>
        <w:rPr>
          <w:spacing w:val="-2"/>
        </w:rPr>
        <w:t>msnyde8@students.towson.edu</w:t>
      </w:r>
    </w:p>
    <w:p w:rsidR="008B197E" w:rsidRDefault="008B197E">
      <w:pPr>
        <w:pStyle w:val="E-Mail"/>
        <w:rPr>
          <w:spacing w:val="-2"/>
        </w:rPr>
      </w:pPr>
    </w:p>
    <w:p w:rsidR="008B197E" w:rsidRDefault="008B197E">
      <w:pPr>
        <w:pStyle w:val="E-Mail"/>
      </w:pPr>
    </w:p>
    <w:p w:rsidR="008B197E" w:rsidRDefault="008B197E">
      <w:pPr>
        <w:jc w:val="center"/>
        <w:sectPr w:rsidR="008B197E" w:rsidSect="00755787">
          <w:type w:val="continuous"/>
          <w:pgSz w:w="12240" w:h="15840" w:code="1"/>
          <w:pgMar w:top="1080" w:right="1080" w:bottom="1440" w:left="1080" w:header="720" w:footer="720" w:gutter="0"/>
          <w:cols w:num="2" w:space="0"/>
        </w:sectPr>
      </w:pPr>
    </w:p>
    <w:p w:rsidR="008B197E" w:rsidRPr="00122A23" w:rsidRDefault="008B197E">
      <w:pPr>
        <w:spacing w:after="0"/>
      </w:pPr>
      <w:r w:rsidRPr="00122A23">
        <w:rPr>
          <w:b/>
          <w:sz w:val="24"/>
        </w:rPr>
        <w:lastRenderedPageBreak/>
        <w:t>ABSTRACT</w:t>
      </w:r>
    </w:p>
    <w:p w:rsidR="008B197E" w:rsidRPr="00122A23" w:rsidRDefault="008B197E">
      <w:pPr>
        <w:pStyle w:val="Abstract"/>
      </w:pPr>
      <w:r w:rsidRPr="00122A23">
        <w:t xml:space="preserve">In this paper, </w:t>
      </w:r>
      <w:r w:rsidR="000C34FB" w:rsidRPr="00122A23">
        <w:t>we describe our approach for implementing the known exploit for the Android operating system (OS) Stagefright vulnerability</w:t>
      </w:r>
      <w:r w:rsidR="00122A23" w:rsidRPr="00122A23">
        <w:t xml:space="preserve"> </w:t>
      </w:r>
      <w:r w:rsidR="000C34FB" w:rsidRPr="00122A23">
        <w:t>on numerous releases of the Android OS ranging from versions 4.0-5.1</w:t>
      </w:r>
      <w:r w:rsidRPr="00122A23">
        <w:t xml:space="preserve">.  </w:t>
      </w:r>
    </w:p>
    <w:p w:rsidR="008B197E" w:rsidRPr="00122A23" w:rsidRDefault="008B197E">
      <w:pPr>
        <w:spacing w:before="120" w:after="0"/>
      </w:pPr>
      <w:r w:rsidRPr="00122A23">
        <w:rPr>
          <w:b/>
          <w:sz w:val="24"/>
        </w:rPr>
        <w:t>C</w:t>
      </w:r>
      <w:r w:rsidR="00122A23" w:rsidRPr="00122A23">
        <w:rPr>
          <w:b/>
          <w:sz w:val="24"/>
        </w:rPr>
        <w:t>ategories and Subject Descriptor</w:t>
      </w:r>
      <w:r w:rsidR="00787583" w:rsidRPr="00122A23">
        <w:rPr>
          <w:b/>
          <w:sz w:val="24"/>
        </w:rPr>
        <w:t>s</w:t>
      </w:r>
    </w:p>
    <w:p w:rsidR="008B197E" w:rsidRPr="00122A23" w:rsidRDefault="00122A23" w:rsidP="00122A23">
      <w:pPr>
        <w:spacing w:after="120"/>
        <w:rPr>
          <w:i/>
          <w:iCs/>
        </w:rPr>
      </w:pPr>
      <w:r w:rsidRPr="00122A23">
        <w:rPr>
          <w:szCs w:val="18"/>
        </w:rPr>
        <w:t>K.6.5 [Management of Computing Information Systems]: Security and Protection</w:t>
      </w:r>
      <w:r w:rsidRPr="00122A23">
        <w:rPr>
          <w:i/>
          <w:iCs/>
        </w:rPr>
        <w:t xml:space="preserve"> </w:t>
      </w:r>
    </w:p>
    <w:p w:rsidR="008B197E" w:rsidRPr="001D7590" w:rsidRDefault="008B197E">
      <w:pPr>
        <w:spacing w:before="120" w:after="0"/>
        <w:rPr>
          <w:color w:val="FF0000"/>
        </w:rPr>
      </w:pPr>
      <w:r w:rsidRPr="001D7590">
        <w:rPr>
          <w:b/>
          <w:color w:val="FF0000"/>
          <w:sz w:val="24"/>
        </w:rPr>
        <w:t>Keywords</w:t>
      </w:r>
    </w:p>
    <w:p w:rsidR="008B197E" w:rsidRPr="001D7590" w:rsidRDefault="00122A23">
      <w:pPr>
        <w:spacing w:after="120"/>
        <w:rPr>
          <w:color w:val="FF0000"/>
        </w:rPr>
      </w:pPr>
      <w:r>
        <w:rPr>
          <w:color w:val="FF0000"/>
        </w:rPr>
        <w:t xml:space="preserve">Security; </w:t>
      </w:r>
      <w:proofErr w:type="spellStart"/>
      <w:r>
        <w:rPr>
          <w:color w:val="FF0000"/>
        </w:rPr>
        <w:t>Stagefright</w:t>
      </w:r>
      <w:proofErr w:type="spellEnd"/>
      <w:r>
        <w:rPr>
          <w:color w:val="FF0000"/>
        </w:rPr>
        <w:t xml:space="preserve">; </w:t>
      </w:r>
      <w:proofErr w:type="spellStart"/>
      <w:r>
        <w:rPr>
          <w:color w:val="FF0000"/>
        </w:rPr>
        <w:t>Zimperium</w:t>
      </w:r>
      <w:proofErr w:type="spellEnd"/>
      <w:r>
        <w:rPr>
          <w:color w:val="FF0000"/>
        </w:rPr>
        <w:t xml:space="preserve"> Research Labs (</w:t>
      </w:r>
      <w:proofErr w:type="spellStart"/>
      <w:r>
        <w:rPr>
          <w:color w:val="FF0000"/>
        </w:rPr>
        <w:t>zLABS</w:t>
      </w:r>
      <w:proofErr w:type="spellEnd"/>
      <w:r>
        <w:rPr>
          <w:color w:val="FF0000"/>
        </w:rPr>
        <w:t>); Android Open Source Project (</w:t>
      </w:r>
      <w:proofErr w:type="spellStart"/>
      <w:r>
        <w:rPr>
          <w:color w:val="FF0000"/>
        </w:rPr>
        <w:t>AOSP</w:t>
      </w:r>
      <w:proofErr w:type="spellEnd"/>
      <w:r>
        <w:rPr>
          <w:color w:val="FF0000"/>
        </w:rPr>
        <w:t>);</w:t>
      </w:r>
      <w:r w:rsidR="00B342BC">
        <w:rPr>
          <w:color w:val="FF0000"/>
        </w:rPr>
        <w:t xml:space="preserve"> </w:t>
      </w:r>
      <w:proofErr w:type="spellStart"/>
      <w:r w:rsidR="00B342BC">
        <w:rPr>
          <w:color w:val="FF0000"/>
        </w:rPr>
        <w:t>SMS</w:t>
      </w:r>
      <w:proofErr w:type="spellEnd"/>
      <w:r w:rsidR="00B342BC">
        <w:rPr>
          <w:color w:val="FF0000"/>
        </w:rPr>
        <w:t>; MMS</w:t>
      </w:r>
    </w:p>
    <w:p w:rsidR="008B197E" w:rsidRDefault="008B197E">
      <w:pPr>
        <w:pStyle w:val="Heading1"/>
        <w:spacing w:before="120"/>
      </w:pPr>
      <w:r>
        <w:t>INTRODUCTION</w:t>
      </w:r>
    </w:p>
    <w:p w:rsidR="001D7590" w:rsidRDefault="001D7590">
      <w:pPr>
        <w:pStyle w:val="BodyTextIndent"/>
        <w:spacing w:after="120"/>
        <w:ind w:firstLine="0"/>
      </w:pPr>
      <w:r>
        <w:t xml:space="preserve">Security researchers at </w:t>
      </w:r>
      <w:proofErr w:type="spellStart"/>
      <w:r>
        <w:t>Zimperium</w:t>
      </w:r>
      <w:proofErr w:type="spellEnd"/>
      <w:r>
        <w:t xml:space="preserve"> Research Labs (</w:t>
      </w:r>
      <w:proofErr w:type="spellStart"/>
      <w:r>
        <w:t>zLABS</w:t>
      </w:r>
      <w:proofErr w:type="spellEnd"/>
      <w:r>
        <w:t>) recently discovered an Android OS vulnerability. To exploit this vulnerability, the attacker merely needs access to the phone’s mobile number and can gain remote code execution privileges. The Android Open Source Project (AOSP) contains a media library named Stagefright at its core which is responsible for processing of all multimedia files (videos, audio, and documents).</w:t>
      </w:r>
      <w:r w:rsidR="00F32B76">
        <w:t xml:space="preserve"> </w:t>
      </w:r>
    </w:p>
    <w:p w:rsidR="000C34FB" w:rsidRDefault="008B197E">
      <w:pPr>
        <w:pStyle w:val="BodyTextIndent"/>
        <w:spacing w:after="120"/>
        <w:ind w:firstLine="0"/>
      </w:pPr>
      <w:r w:rsidRPr="000C34FB">
        <w:t xml:space="preserve">The </w:t>
      </w:r>
      <w:r w:rsidR="000C34FB" w:rsidRPr="000C34FB">
        <w:t xml:space="preserve">vulnerability found in </w:t>
      </w:r>
      <w:proofErr w:type="spellStart"/>
      <w:r w:rsidR="000C34FB" w:rsidRPr="000C34FB">
        <w:t>Stagefright</w:t>
      </w:r>
      <w:proofErr w:type="spellEnd"/>
      <w:r w:rsidR="000C34FB">
        <w:t xml:space="preserve"> </w:t>
      </w:r>
      <w:r w:rsidR="004B5742">
        <w:t xml:space="preserve">is especially dangerous because it requires no interaction from the device user. Multimedia files </w:t>
      </w:r>
      <w:proofErr w:type="gramStart"/>
      <w:r w:rsidR="004B5742">
        <w:t>are pre-processed</w:t>
      </w:r>
      <w:proofErr w:type="gramEnd"/>
      <w:r w:rsidR="004B5742">
        <w:t xml:space="preserve"> by </w:t>
      </w:r>
      <w:proofErr w:type="spellStart"/>
      <w:r w:rsidR="004B5742">
        <w:t>Stagefright</w:t>
      </w:r>
      <w:proofErr w:type="spellEnd"/>
      <w:r w:rsidR="004B5742">
        <w:t xml:space="preserve"> as they are received to insure they are ready for use/viewing when the device user needs them. </w:t>
      </w:r>
      <w:proofErr w:type="gramStart"/>
      <w:r w:rsidR="004B5742">
        <w:t>This pre-processing causes</w:t>
      </w:r>
      <w:proofErr w:type="gramEnd"/>
      <w:r w:rsidR="004B5742">
        <w:t xml:space="preserve"> any malicious code embedded in the multimedia file to be executed even before the multimedia file is accessed by the device user.</w:t>
      </w:r>
    </w:p>
    <w:p w:rsidR="00922D7A" w:rsidRPr="00922D7A" w:rsidRDefault="00922D7A">
      <w:pPr>
        <w:pStyle w:val="BodyTextIndent"/>
        <w:spacing w:after="120"/>
        <w:ind w:firstLine="0"/>
        <w:rPr>
          <w:color w:val="FF0000"/>
        </w:rPr>
      </w:pPr>
      <w:proofErr w:type="gramStart"/>
      <w:r w:rsidRPr="00922D7A">
        <w:rPr>
          <w:color w:val="FF0000"/>
        </w:rPr>
        <w:t>&lt;Write more here?&gt;</w:t>
      </w:r>
      <w:proofErr w:type="gramEnd"/>
    </w:p>
    <w:p w:rsidR="008B197E" w:rsidRPr="00922D7A" w:rsidRDefault="004B5742">
      <w:pPr>
        <w:pStyle w:val="Heading1"/>
        <w:spacing w:before="120"/>
      </w:pPr>
      <w:r w:rsidRPr="00922D7A">
        <w:t xml:space="preserve">BACKGROUND ON </w:t>
      </w:r>
      <w:proofErr w:type="spellStart"/>
      <w:r w:rsidRPr="00922D7A">
        <w:t>STAGEFRIGHT</w:t>
      </w:r>
      <w:proofErr w:type="spellEnd"/>
    </w:p>
    <w:p w:rsidR="008B197E" w:rsidRPr="001D7590" w:rsidRDefault="008B197E">
      <w:pPr>
        <w:pStyle w:val="Heading2"/>
        <w:spacing w:before="0"/>
        <w:rPr>
          <w:color w:val="FF0000"/>
        </w:rPr>
      </w:pPr>
      <w:smartTag w:uri="urn:schemas-microsoft-com:office:smarttags" w:element="City">
        <w:smartTag w:uri="urn:schemas-microsoft-com:office:smarttags" w:element="place">
          <w:r w:rsidRPr="001D7590">
            <w:rPr>
              <w:color w:val="FF0000"/>
            </w:rPr>
            <w:t>Normal</w:t>
          </w:r>
        </w:smartTag>
      </w:smartTag>
      <w:r w:rsidRPr="001D7590">
        <w:rPr>
          <w:color w:val="FF0000"/>
        </w:rPr>
        <w:t xml:space="preserve"> or Body Text</w:t>
      </w:r>
    </w:p>
    <w:p w:rsidR="00922D7A" w:rsidRDefault="00922D7A">
      <w:pPr>
        <w:pStyle w:val="BodyTextIndent"/>
        <w:spacing w:after="120"/>
        <w:ind w:firstLine="0"/>
      </w:pPr>
      <w:r>
        <w:t xml:space="preserve">The VP of Platform Research and Exploitation at </w:t>
      </w:r>
      <w:proofErr w:type="spellStart"/>
      <w:r>
        <w:t>Zimperium</w:t>
      </w:r>
      <w:proofErr w:type="spellEnd"/>
      <w:r>
        <w:t xml:space="preserve"> </w:t>
      </w:r>
      <w:proofErr w:type="spellStart"/>
      <w:r>
        <w:t>zLabs</w:t>
      </w:r>
      <w:proofErr w:type="spellEnd"/>
      <w:r>
        <w:t>, Joshua J. Drake discovered the vulnerability after delving into the inner workings of the Android OS.</w:t>
      </w:r>
    </w:p>
    <w:p w:rsidR="004B5742" w:rsidRDefault="004B5742">
      <w:pPr>
        <w:pStyle w:val="BodyTextIndent"/>
        <w:spacing w:after="120"/>
        <w:ind w:firstLine="0"/>
      </w:pPr>
      <w:r>
        <w:t xml:space="preserve">When dealing with multimedia files time is of the essence and speed of processing is a high priority. As such, the </w:t>
      </w:r>
      <w:proofErr w:type="spellStart"/>
      <w:r>
        <w:t>Stagefright</w:t>
      </w:r>
      <w:proofErr w:type="spellEnd"/>
      <w:r>
        <w:t xml:space="preserve"> library </w:t>
      </w:r>
      <w:proofErr w:type="gramStart"/>
      <w:r>
        <w:t>was not written</w:t>
      </w:r>
      <w:proofErr w:type="gramEnd"/>
      <w:r>
        <w:t xml:space="preserve"> in Java or a similar more memory-safe language, but instead was based in C++, which is more apt to suffe</w:t>
      </w:r>
      <w:r>
        <w:t>r from memory corruption.</w:t>
      </w:r>
    </w:p>
    <w:p w:rsidR="008B197E" w:rsidRPr="001D7590" w:rsidRDefault="008B197E">
      <w:pPr>
        <w:pStyle w:val="BodyTextIndent"/>
        <w:spacing w:after="120"/>
        <w:ind w:firstLine="0"/>
        <w:rPr>
          <w:color w:val="FF0000"/>
        </w:rPr>
      </w:pPr>
      <w:r w:rsidRPr="001D7590">
        <w:rPr>
          <w:color w:val="FF0000"/>
        </w:rPr>
        <w:t xml:space="preserve">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w:t>
      </w:r>
      <w:r w:rsidRPr="001D7590">
        <w:rPr>
          <w:color w:val="FF0000"/>
        </w:rPr>
        <w:lastRenderedPageBreak/>
        <w:t>use the font named Times.  Right margins should be justified, not ragged.</w:t>
      </w:r>
    </w:p>
    <w:p w:rsidR="008B197E" w:rsidRPr="001D7590" w:rsidRDefault="00922D7A">
      <w:pPr>
        <w:pStyle w:val="Heading2"/>
        <w:spacing w:before="120"/>
        <w:rPr>
          <w:color w:val="FF0000"/>
        </w:rPr>
      </w:pPr>
      <w:r>
        <w:rPr>
          <w:color w:val="FF0000"/>
        </w:rPr>
        <w:t>Potential Disaster</w:t>
      </w:r>
    </w:p>
    <w:p w:rsidR="00922D7A" w:rsidRPr="001D7590" w:rsidRDefault="008B197E" w:rsidP="00922D7A">
      <w:pPr>
        <w:spacing w:after="120"/>
        <w:rPr>
          <w:color w:val="FF0000"/>
        </w:rPr>
      </w:pPr>
      <w:r w:rsidRPr="001D7590">
        <w:rPr>
          <w:color w:val="FF0000"/>
        </w:rPr>
        <w:t xml:space="preserve">The </w:t>
      </w:r>
      <w:proofErr w:type="spellStart"/>
      <w:r w:rsidR="00922D7A">
        <w:rPr>
          <w:color w:val="FF0000"/>
        </w:rPr>
        <w:t>Stagefright</w:t>
      </w:r>
      <w:proofErr w:type="spellEnd"/>
      <w:r w:rsidR="00922D7A">
        <w:rPr>
          <w:color w:val="FF0000"/>
        </w:rPr>
        <w:t xml:space="preserve"> vulnerability is said to </w:t>
      </w:r>
      <w:proofErr w:type="gramStart"/>
      <w:r w:rsidR="00922D7A">
        <w:rPr>
          <w:color w:val="FF0000"/>
        </w:rPr>
        <w:t>effect</w:t>
      </w:r>
      <w:proofErr w:type="gramEnd"/>
      <w:r w:rsidR="00922D7A">
        <w:rPr>
          <w:color w:val="FF0000"/>
        </w:rPr>
        <w:t xml:space="preserve"> 95% of all Android devices, an estimated 950 million</w:t>
      </w:r>
      <w:r w:rsidR="00922D7A" w:rsidRPr="001D7590">
        <w:rPr>
          <w:color w:val="FF0000"/>
        </w:rPr>
        <w:t>.</w:t>
      </w:r>
      <w:r w:rsidR="00922D7A" w:rsidRPr="001D7590">
        <w:rPr>
          <w:rStyle w:val="FootnoteReference"/>
          <w:color w:val="FF0000"/>
        </w:rPr>
        <w:footnoteReference w:id="1"/>
      </w:r>
      <w:r w:rsidR="00922D7A">
        <w:rPr>
          <w:color w:val="FF0000"/>
        </w:rPr>
        <w:t xml:space="preserve"> </w:t>
      </w:r>
      <w:proofErr w:type="spellStart"/>
      <w:r w:rsidR="00922D7A">
        <w:rPr>
          <w:color w:val="FF0000"/>
        </w:rPr>
        <w:t>Ther</w:t>
      </w:r>
      <w:proofErr w:type="spellEnd"/>
    </w:p>
    <w:p w:rsidR="008B197E" w:rsidRPr="001D7590" w:rsidRDefault="008B197E">
      <w:pPr>
        <w:spacing w:after="120"/>
        <w:rPr>
          <w:color w:val="FF0000"/>
        </w:rPr>
      </w:pPr>
      <w:proofErr w:type="gramStart"/>
      <w:r w:rsidRPr="001D7590">
        <w:rPr>
          <w:color w:val="FF0000"/>
        </w:rPr>
        <w:t>title</w:t>
      </w:r>
      <w:proofErr w:type="gramEnd"/>
      <w:r w:rsidRPr="001D7590">
        <w:rPr>
          <w:color w:val="FF0000"/>
        </w:rPr>
        <w:t xml:space="preserv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RPr="001D7590">
        <w:rPr>
          <w:rStyle w:val="FootnoteReference"/>
          <w:color w:val="FF0000"/>
        </w:rPr>
        <w:footnoteReference w:id="2"/>
      </w:r>
    </w:p>
    <w:p w:rsidR="008B197E" w:rsidRPr="001D7590" w:rsidRDefault="008B197E">
      <w:pPr>
        <w:pStyle w:val="Heading2"/>
        <w:spacing w:before="120"/>
        <w:rPr>
          <w:color w:val="FF0000"/>
        </w:rPr>
      </w:pPr>
      <w:r w:rsidRPr="001D7590">
        <w:rPr>
          <w:color w:val="FF0000"/>
        </w:rPr>
        <w:t>First Page Copyright Notice</w:t>
      </w:r>
    </w:p>
    <w:p w:rsidR="008B197E" w:rsidRPr="001D7590" w:rsidRDefault="008B197E">
      <w:pPr>
        <w:pStyle w:val="BodyTextIndent"/>
        <w:spacing w:after="120"/>
        <w:ind w:firstLine="0"/>
        <w:rPr>
          <w:color w:val="FF0000"/>
        </w:rPr>
      </w:pPr>
      <w:r w:rsidRPr="001D7590">
        <w:rPr>
          <w:color w:val="FF0000"/>
        </w:rPr>
        <w:t>Please leave 3.81 cm (1.5") of blank text box at the bottom of the left column of the first page for the copyright notice.</w:t>
      </w:r>
    </w:p>
    <w:p w:rsidR="008B197E" w:rsidRPr="001D7590" w:rsidRDefault="008B197E">
      <w:pPr>
        <w:pStyle w:val="Heading2"/>
        <w:spacing w:before="120"/>
        <w:rPr>
          <w:color w:val="FF0000"/>
        </w:rPr>
      </w:pPr>
      <w:r w:rsidRPr="001D7590">
        <w:rPr>
          <w:color w:val="FF0000"/>
        </w:rPr>
        <w:t>Subsequent Pages</w:t>
      </w:r>
    </w:p>
    <w:p w:rsidR="008B197E" w:rsidRPr="001D7590" w:rsidRDefault="008B197E">
      <w:pPr>
        <w:pStyle w:val="BodyTextIndent"/>
        <w:spacing w:after="120"/>
        <w:ind w:firstLine="0"/>
        <w:rPr>
          <w:color w:val="FF0000"/>
        </w:rPr>
      </w:pPr>
      <w:r w:rsidRPr="001D7590">
        <w:rPr>
          <w:color w:val="FF0000"/>
        </w:rPr>
        <w:t>For pages other than the first page, start at the top of the page, and continue in double-column format.  The two columns on the last page should be as close to equal length as possible.</w:t>
      </w:r>
    </w:p>
    <w:p w:rsidR="008B197E" w:rsidRPr="001D7590" w:rsidRDefault="008B197E">
      <w:pPr>
        <w:pStyle w:val="BodyTextIndent"/>
        <w:ind w:firstLine="0"/>
        <w:rPr>
          <w:color w:val="FF0000"/>
        </w:rPr>
      </w:pPr>
    </w:p>
    <w:p w:rsidR="008B197E" w:rsidRPr="001D7590" w:rsidRDefault="008B197E">
      <w:pPr>
        <w:pStyle w:val="Caption"/>
        <w:keepNext/>
        <w:rPr>
          <w:color w:val="FF0000"/>
        </w:rPr>
      </w:pPr>
      <w:r w:rsidRPr="001D7590">
        <w:rPr>
          <w:color w:val="FF0000"/>
        </w:rPr>
        <w:t xml:space="preserve">Table </w:t>
      </w:r>
      <w:r w:rsidR="00A60B73" w:rsidRPr="001D7590">
        <w:rPr>
          <w:color w:val="FF0000"/>
        </w:rPr>
        <w:fldChar w:fldCharType="begin"/>
      </w:r>
      <w:r w:rsidR="00A60B73" w:rsidRPr="001D7590">
        <w:rPr>
          <w:color w:val="FF0000"/>
        </w:rPr>
        <w:instrText xml:space="preserve"> SEQ Table \* ARABIC </w:instrText>
      </w:r>
      <w:r w:rsidR="00A60B73" w:rsidRPr="001D7590">
        <w:rPr>
          <w:color w:val="FF0000"/>
        </w:rPr>
        <w:fldChar w:fldCharType="separate"/>
      </w:r>
      <w:r w:rsidR="00E26518" w:rsidRPr="001D7590">
        <w:rPr>
          <w:noProof/>
          <w:color w:val="FF0000"/>
        </w:rPr>
        <w:t>1</w:t>
      </w:r>
      <w:r w:rsidR="00A60B73" w:rsidRPr="001D7590">
        <w:rPr>
          <w:noProof/>
          <w:color w:val="FF0000"/>
        </w:rPr>
        <w:fldChar w:fldCharType="end"/>
      </w:r>
      <w:r w:rsidRPr="001D7590">
        <w:rPr>
          <w:color w:val="FF0000"/>
        </w:rP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1D7590">
        <w:trPr>
          <w:trHeight w:val="310"/>
        </w:trPr>
        <w:tc>
          <w:tcPr>
            <w:tcW w:w="1211" w:type="dxa"/>
            <w:vAlign w:val="center"/>
          </w:tcPr>
          <w:p w:rsidR="008B197E" w:rsidRPr="001D7590" w:rsidRDefault="008B197E">
            <w:pPr>
              <w:pStyle w:val="BodyTextIndent"/>
              <w:ind w:firstLine="0"/>
              <w:jc w:val="center"/>
              <w:rPr>
                <w:b/>
                <w:bCs/>
                <w:color w:val="FF0000"/>
              </w:rPr>
            </w:pPr>
            <w:r w:rsidRPr="001D7590">
              <w:rPr>
                <w:b/>
                <w:bCs/>
                <w:color w:val="FF0000"/>
              </w:rPr>
              <w:t>Graphics</w:t>
            </w:r>
          </w:p>
        </w:tc>
        <w:tc>
          <w:tcPr>
            <w:tcW w:w="962" w:type="dxa"/>
            <w:vAlign w:val="center"/>
          </w:tcPr>
          <w:p w:rsidR="008B197E" w:rsidRPr="001D7590" w:rsidRDefault="008B197E">
            <w:pPr>
              <w:pStyle w:val="BodyTextIndent"/>
              <w:ind w:firstLine="0"/>
              <w:jc w:val="center"/>
              <w:rPr>
                <w:b/>
                <w:bCs/>
                <w:color w:val="FF0000"/>
              </w:rPr>
            </w:pPr>
            <w:r w:rsidRPr="001D7590">
              <w:rPr>
                <w:b/>
                <w:bCs/>
                <w:color w:val="FF0000"/>
              </w:rPr>
              <w:t>Top</w:t>
            </w:r>
          </w:p>
        </w:tc>
        <w:tc>
          <w:tcPr>
            <w:tcW w:w="1406" w:type="dxa"/>
            <w:vAlign w:val="center"/>
          </w:tcPr>
          <w:p w:rsidR="008B197E" w:rsidRPr="001D7590" w:rsidRDefault="008B197E">
            <w:pPr>
              <w:pStyle w:val="BodyTextIndent"/>
              <w:ind w:firstLine="0"/>
              <w:jc w:val="center"/>
              <w:rPr>
                <w:b/>
                <w:bCs/>
                <w:color w:val="FF0000"/>
              </w:rPr>
            </w:pPr>
            <w:r w:rsidRPr="001D7590">
              <w:rPr>
                <w:b/>
                <w:bCs/>
                <w:color w:val="FF0000"/>
              </w:rPr>
              <w:t>In-between</w:t>
            </w:r>
          </w:p>
        </w:tc>
        <w:tc>
          <w:tcPr>
            <w:tcW w:w="1216" w:type="dxa"/>
            <w:vAlign w:val="center"/>
          </w:tcPr>
          <w:p w:rsidR="008B197E" w:rsidRPr="001D7590" w:rsidRDefault="008B197E">
            <w:pPr>
              <w:pStyle w:val="BodyTextIndent"/>
              <w:ind w:firstLine="0"/>
              <w:jc w:val="center"/>
              <w:rPr>
                <w:b/>
                <w:bCs/>
                <w:color w:val="FF0000"/>
              </w:rPr>
            </w:pPr>
            <w:r w:rsidRPr="001D7590">
              <w:rPr>
                <w:b/>
                <w:bCs/>
                <w:color w:val="FF0000"/>
              </w:rPr>
              <w:t>Bottom</w:t>
            </w:r>
          </w:p>
        </w:tc>
      </w:tr>
      <w:tr w:rsidR="008B197E" w:rsidRPr="001D7590">
        <w:trPr>
          <w:trHeight w:val="310"/>
        </w:trPr>
        <w:tc>
          <w:tcPr>
            <w:tcW w:w="1211" w:type="dxa"/>
            <w:vAlign w:val="center"/>
          </w:tcPr>
          <w:p w:rsidR="008B197E" w:rsidRPr="001D7590" w:rsidRDefault="008B197E">
            <w:pPr>
              <w:pStyle w:val="BodyTextIndent"/>
              <w:ind w:firstLine="0"/>
              <w:jc w:val="center"/>
              <w:rPr>
                <w:color w:val="FF0000"/>
              </w:rPr>
            </w:pPr>
            <w:r w:rsidRPr="001D7590">
              <w:rPr>
                <w:color w:val="FF0000"/>
              </w:rPr>
              <w:t>Tables</w:t>
            </w:r>
          </w:p>
        </w:tc>
        <w:tc>
          <w:tcPr>
            <w:tcW w:w="962" w:type="dxa"/>
            <w:vAlign w:val="center"/>
          </w:tcPr>
          <w:p w:rsidR="008B197E" w:rsidRPr="001D7590" w:rsidRDefault="008B197E">
            <w:pPr>
              <w:pStyle w:val="BodyTextIndent"/>
              <w:ind w:firstLine="0"/>
              <w:jc w:val="center"/>
              <w:rPr>
                <w:color w:val="FF0000"/>
              </w:rPr>
            </w:pPr>
            <w:r w:rsidRPr="001D7590">
              <w:rPr>
                <w:color w:val="FF0000"/>
              </w:rPr>
              <w:t>End</w:t>
            </w:r>
          </w:p>
        </w:tc>
        <w:tc>
          <w:tcPr>
            <w:tcW w:w="1406" w:type="dxa"/>
            <w:vAlign w:val="center"/>
          </w:tcPr>
          <w:p w:rsidR="008B197E" w:rsidRPr="001D7590" w:rsidRDefault="008B197E">
            <w:pPr>
              <w:pStyle w:val="BodyTextIndent"/>
              <w:ind w:firstLine="0"/>
              <w:jc w:val="center"/>
              <w:rPr>
                <w:color w:val="FF0000"/>
              </w:rPr>
            </w:pPr>
            <w:r w:rsidRPr="001D7590">
              <w:rPr>
                <w:color w:val="FF0000"/>
              </w:rPr>
              <w:t>Last</w:t>
            </w:r>
          </w:p>
        </w:tc>
        <w:tc>
          <w:tcPr>
            <w:tcW w:w="1216" w:type="dxa"/>
            <w:vAlign w:val="center"/>
          </w:tcPr>
          <w:p w:rsidR="008B197E" w:rsidRPr="001D7590" w:rsidRDefault="008B197E">
            <w:pPr>
              <w:pStyle w:val="BodyTextIndent"/>
              <w:ind w:firstLine="0"/>
              <w:jc w:val="center"/>
              <w:rPr>
                <w:color w:val="FF0000"/>
              </w:rPr>
            </w:pPr>
            <w:r w:rsidRPr="001D7590">
              <w:rPr>
                <w:color w:val="FF0000"/>
              </w:rPr>
              <w:t>First</w:t>
            </w:r>
          </w:p>
        </w:tc>
      </w:tr>
      <w:tr w:rsidR="008B197E" w:rsidRPr="001D7590">
        <w:trPr>
          <w:trHeight w:val="341"/>
        </w:trPr>
        <w:tc>
          <w:tcPr>
            <w:tcW w:w="1211" w:type="dxa"/>
            <w:vAlign w:val="center"/>
          </w:tcPr>
          <w:p w:rsidR="008B197E" w:rsidRPr="001D7590" w:rsidRDefault="008B197E">
            <w:pPr>
              <w:pStyle w:val="BodyTextIndent"/>
              <w:ind w:firstLine="0"/>
              <w:jc w:val="center"/>
              <w:rPr>
                <w:color w:val="FF0000"/>
              </w:rPr>
            </w:pPr>
            <w:r w:rsidRPr="001D7590">
              <w:rPr>
                <w:color w:val="FF0000"/>
              </w:rPr>
              <w:t>Figures</w:t>
            </w:r>
          </w:p>
        </w:tc>
        <w:tc>
          <w:tcPr>
            <w:tcW w:w="962" w:type="dxa"/>
            <w:vAlign w:val="center"/>
          </w:tcPr>
          <w:p w:rsidR="008B197E" w:rsidRPr="001D7590" w:rsidRDefault="008B197E">
            <w:pPr>
              <w:pStyle w:val="BodyTextIndent"/>
              <w:ind w:firstLine="0"/>
              <w:jc w:val="center"/>
              <w:rPr>
                <w:color w:val="FF0000"/>
              </w:rPr>
            </w:pPr>
            <w:r w:rsidRPr="001D7590">
              <w:rPr>
                <w:color w:val="FF0000"/>
              </w:rPr>
              <w:t>Good</w:t>
            </w:r>
          </w:p>
        </w:tc>
        <w:tc>
          <w:tcPr>
            <w:tcW w:w="1406" w:type="dxa"/>
            <w:vAlign w:val="center"/>
          </w:tcPr>
          <w:p w:rsidR="008B197E" w:rsidRPr="001D7590" w:rsidRDefault="008B197E">
            <w:pPr>
              <w:pStyle w:val="BodyTextIndent"/>
              <w:ind w:firstLine="0"/>
              <w:jc w:val="center"/>
              <w:rPr>
                <w:color w:val="FF0000"/>
              </w:rPr>
            </w:pPr>
            <w:r w:rsidRPr="001D7590">
              <w:rPr>
                <w:color w:val="FF0000"/>
              </w:rPr>
              <w:t>Similar</w:t>
            </w:r>
          </w:p>
        </w:tc>
        <w:tc>
          <w:tcPr>
            <w:tcW w:w="1216" w:type="dxa"/>
            <w:vAlign w:val="center"/>
          </w:tcPr>
          <w:p w:rsidR="008B197E" w:rsidRPr="001D7590" w:rsidRDefault="008B197E">
            <w:pPr>
              <w:pStyle w:val="BodyTextIndent"/>
              <w:ind w:firstLine="0"/>
              <w:jc w:val="center"/>
              <w:rPr>
                <w:color w:val="FF0000"/>
              </w:rPr>
            </w:pPr>
            <w:r w:rsidRPr="001D7590">
              <w:rPr>
                <w:color w:val="FF0000"/>
              </w:rPr>
              <w:t>Very well</w:t>
            </w:r>
          </w:p>
        </w:tc>
      </w:tr>
    </w:tbl>
    <w:p w:rsidR="008B197E" w:rsidRPr="001D7590" w:rsidRDefault="008B197E">
      <w:pPr>
        <w:pStyle w:val="BodyTextIndent"/>
        <w:ind w:firstLine="0"/>
        <w:rPr>
          <w:color w:val="FF0000"/>
        </w:rPr>
      </w:pPr>
    </w:p>
    <w:p w:rsidR="008B197E" w:rsidRPr="001D7590" w:rsidRDefault="008B197E">
      <w:pPr>
        <w:pStyle w:val="Heading2"/>
        <w:spacing w:before="120"/>
        <w:rPr>
          <w:color w:val="FF0000"/>
        </w:rPr>
      </w:pPr>
      <w:r w:rsidRPr="001D7590">
        <w:rPr>
          <w:color w:val="FF0000"/>
        </w:rPr>
        <w:t>References and Citations</w:t>
      </w:r>
    </w:p>
    <w:p w:rsidR="008B197E" w:rsidRPr="001D7590" w:rsidRDefault="008B197E">
      <w:pPr>
        <w:spacing w:after="120"/>
        <w:rPr>
          <w:color w:val="FF0000"/>
        </w:rPr>
      </w:pPr>
      <w:r w:rsidRPr="001D7590">
        <w:rPr>
          <w:color w:val="FF0000"/>
        </w:rPr>
        <w:t>Footnotes should be Times New Roman 9-point, and justified to the full width of the column.</w:t>
      </w:r>
    </w:p>
    <w:p w:rsidR="008B197E" w:rsidRPr="001D7590" w:rsidRDefault="008B197E">
      <w:pPr>
        <w:spacing w:after="120"/>
        <w:rPr>
          <w:color w:val="FF0000"/>
        </w:rPr>
      </w:pPr>
      <w:r w:rsidRPr="001D7590">
        <w:rPr>
          <w:color w:val="FF0000"/>
        </w:rPr>
        <w:t xml:space="preserve">Use the </w:t>
      </w:r>
      <w:r w:rsidR="00172159" w:rsidRPr="001D7590">
        <w:rPr>
          <w:color w:val="FF0000"/>
        </w:rPr>
        <w:t xml:space="preserve">“ACM Reference format” </w:t>
      </w:r>
      <w:r w:rsidRPr="001D7590">
        <w:rPr>
          <w:color w:val="FF0000"/>
        </w:rPr>
        <w:t xml:space="preserve">for references – that is, a numbered list at the end of the </w:t>
      </w:r>
      <w:smartTag w:uri="urn:schemas-microsoft-com:office:smarttags" w:element="PersonName">
        <w:r w:rsidRPr="001D7590">
          <w:rPr>
            <w:color w:val="FF0000"/>
          </w:rPr>
          <w:t>art</w:t>
        </w:r>
      </w:smartTag>
      <w:r w:rsidRPr="001D7590">
        <w:rPr>
          <w:color w:val="FF0000"/>
        </w:rPr>
        <w:t>icle, ordered alphabetically</w:t>
      </w:r>
      <w:r w:rsidR="000355F6" w:rsidRPr="001D7590">
        <w:rPr>
          <w:color w:val="FF0000"/>
        </w:rPr>
        <w:t xml:space="preserve"> and formatted accordingly</w:t>
      </w:r>
      <w:r w:rsidR="00172159" w:rsidRPr="001D7590">
        <w:rPr>
          <w:color w:val="FF0000"/>
        </w:rPr>
        <w:t xml:space="preserve">. </w:t>
      </w:r>
      <w:r w:rsidR="000355F6" w:rsidRPr="001D7590">
        <w:rPr>
          <w:color w:val="FF0000"/>
        </w:rPr>
        <w:t>See</w:t>
      </w:r>
      <w:r w:rsidRPr="001D7590">
        <w:rPr>
          <w:color w:val="FF0000"/>
        </w:rPr>
        <w:t xml:space="preserve"> examples </w:t>
      </w:r>
      <w:r w:rsidR="000355F6" w:rsidRPr="001D7590">
        <w:rPr>
          <w:color w:val="FF0000"/>
        </w:rPr>
        <w:t xml:space="preserve">of some typical reference types, in the new “ACM Reference format”, </w:t>
      </w:r>
      <w:r w:rsidRPr="001D7590">
        <w:rPr>
          <w:color w:val="FF0000"/>
        </w:rPr>
        <w:t xml:space="preserve">at the end of this document. Within this template, use the style named </w:t>
      </w:r>
      <w:r w:rsidRPr="001D7590">
        <w:rPr>
          <w:i/>
          <w:color w:val="FF0000"/>
        </w:rPr>
        <w:t>references</w:t>
      </w:r>
      <w:r w:rsidR="000355F6" w:rsidRPr="001D7590">
        <w:rPr>
          <w:color w:val="FF0000"/>
        </w:rPr>
        <w:t xml:space="preserve"> for the text</w:t>
      </w:r>
      <w:r w:rsidRPr="001D7590">
        <w:rPr>
          <w:color w:val="FF0000"/>
        </w:rPr>
        <w:t>.</w:t>
      </w:r>
      <w:r w:rsidR="000355F6" w:rsidRPr="001D7590">
        <w:rPr>
          <w:color w:val="FF0000"/>
        </w:rPr>
        <w:t xml:space="preserve"> Acceptable abbreviations, for journal names, can be found here: </w:t>
      </w:r>
      <w:hyperlink r:id="rId10" w:history="1">
        <w:r w:rsidR="000355F6" w:rsidRPr="001D7590">
          <w:rPr>
            <w:rStyle w:val="Hyperlink"/>
            <w:color w:val="FF0000"/>
          </w:rPr>
          <w:t>http://library.caltech.edu/reference/abbreviations/</w:t>
        </w:r>
      </w:hyperlink>
      <w:r w:rsidR="00DA70EA" w:rsidRPr="001D7590">
        <w:rPr>
          <w:color w:val="FF0000"/>
        </w:rPr>
        <w:t>. Word may try to automatically ‘underline’ hotlinks in your references, the correct style is NO underlining.</w:t>
      </w:r>
    </w:p>
    <w:p w:rsidR="008B197E" w:rsidRPr="001D7590" w:rsidRDefault="008B197E">
      <w:pPr>
        <w:spacing w:after="120"/>
        <w:rPr>
          <w:color w:val="FF0000"/>
        </w:rPr>
      </w:pPr>
      <w:r w:rsidRPr="001D7590">
        <w:rPr>
          <w:color w:val="FF0000"/>
        </w:rPr>
        <w:lastRenderedPageBreak/>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1D7590" w:rsidRDefault="008B197E">
      <w:pPr>
        <w:pStyle w:val="Heading2"/>
        <w:spacing w:before="120"/>
        <w:rPr>
          <w:color w:val="FF0000"/>
        </w:rPr>
      </w:pPr>
      <w:r w:rsidRPr="001D7590">
        <w:rPr>
          <w:color w:val="FF0000"/>
        </w:rPr>
        <w:t>Page Numbering, Headers and Footers</w:t>
      </w:r>
    </w:p>
    <w:p w:rsidR="008B197E" w:rsidRPr="001D7590" w:rsidRDefault="008B197E">
      <w:pPr>
        <w:pStyle w:val="BodyTextIndent"/>
        <w:spacing w:after="120"/>
        <w:ind w:firstLine="0"/>
        <w:rPr>
          <w:color w:val="FF0000"/>
        </w:rPr>
      </w:pPr>
      <w:r w:rsidRPr="001D7590">
        <w:rPr>
          <w:color w:val="FF0000"/>
        </w:rPr>
        <w:t xml:space="preserve">Do not include headers, </w:t>
      </w:r>
      <w:proofErr w:type="gramStart"/>
      <w:r w:rsidRPr="001D7590">
        <w:rPr>
          <w:color w:val="FF0000"/>
        </w:rPr>
        <w:t>footers</w:t>
      </w:r>
      <w:proofErr w:type="gramEnd"/>
      <w:r w:rsidRPr="001D7590">
        <w:rPr>
          <w:color w:val="FF0000"/>
        </w:rPr>
        <w:t xml:space="preserve"> or page numbers in your submission. These </w:t>
      </w:r>
      <w:proofErr w:type="gramStart"/>
      <w:r w:rsidRPr="001D7590">
        <w:rPr>
          <w:color w:val="FF0000"/>
        </w:rPr>
        <w:t>will be added</w:t>
      </w:r>
      <w:proofErr w:type="gramEnd"/>
      <w:r w:rsidRPr="001D7590">
        <w:rPr>
          <w:color w:val="FF0000"/>
        </w:rPr>
        <w:t xml:space="preserve"> when the publications are assembled.</w:t>
      </w:r>
    </w:p>
    <w:p w:rsidR="004B5742" w:rsidRPr="00922D7A" w:rsidRDefault="004B5742" w:rsidP="004B5742">
      <w:pPr>
        <w:pStyle w:val="Heading1"/>
        <w:spacing w:before="120"/>
        <w:rPr>
          <w:color w:val="FF0000"/>
        </w:rPr>
      </w:pPr>
      <w:r w:rsidRPr="00922D7A">
        <w:rPr>
          <w:color w:val="FF0000"/>
        </w:rPr>
        <w:t xml:space="preserve">BACKGROUND ON </w:t>
      </w:r>
      <w:proofErr w:type="spellStart"/>
      <w:r w:rsidRPr="00922D7A">
        <w:rPr>
          <w:color w:val="FF0000"/>
        </w:rPr>
        <w:t>STAGEFRIGHT</w:t>
      </w:r>
      <w:proofErr w:type="spellEnd"/>
    </w:p>
    <w:p w:rsidR="004B5742" w:rsidRPr="001D7590" w:rsidRDefault="004B5742" w:rsidP="004B5742">
      <w:pPr>
        <w:pStyle w:val="BodyTextIndent"/>
        <w:spacing w:after="120"/>
        <w:ind w:firstLine="0"/>
        <w:rPr>
          <w:color w:val="FF0000"/>
        </w:rPr>
      </w:pPr>
      <w:r w:rsidRPr="001D7590">
        <w:rPr>
          <w:color w:val="FF0000"/>
        </w:rPr>
        <w:t>All material on each page should fit within a rectangle of 18 × 23.5 cm (7" × 9.25"), centered on the page, beginning 1.9 cm (0.75") from the top of the page and ending with 2.54 cm (1") from the bottom</w:t>
      </w:r>
      <w:proofErr w:type="gramStart"/>
      <w:r w:rsidRPr="001D7590">
        <w:rPr>
          <w:color w:val="FF0000"/>
        </w:rPr>
        <w:t xml:space="preserve">.  </w:t>
      </w:r>
      <w:proofErr w:type="gramEnd"/>
      <w:r w:rsidRPr="001D7590">
        <w:rPr>
          <w:color w:val="FF0000"/>
        </w:rPr>
        <w:t>The right and left margins should be 1.9 cm (.75")</w:t>
      </w:r>
      <w:proofErr w:type="gramStart"/>
      <w:r w:rsidRPr="001D7590">
        <w:rPr>
          <w:color w:val="FF0000"/>
        </w:rPr>
        <w:t xml:space="preserve">.  </w:t>
      </w:r>
      <w:proofErr w:type="gramEnd"/>
      <w:r w:rsidRPr="001D7590">
        <w:rPr>
          <w:color w:val="FF0000"/>
        </w:rPr>
        <w:t>The text should be in two 8.45 cm (3.33") columns with a .83 cm (.33") gutter.</w:t>
      </w:r>
    </w:p>
    <w:p w:rsidR="008B197E" w:rsidRPr="001D7590" w:rsidRDefault="008B197E">
      <w:pPr>
        <w:pStyle w:val="Heading1"/>
        <w:spacing w:before="120"/>
        <w:rPr>
          <w:color w:val="FF0000"/>
        </w:rPr>
      </w:pPr>
      <w:r w:rsidRPr="001D7590">
        <w:rPr>
          <w:color w:val="FF0000"/>
        </w:rPr>
        <w:t>FIGURES/CAPTIONS</w:t>
      </w:r>
    </w:p>
    <w:p w:rsidR="008B197E" w:rsidRPr="001D7590" w:rsidRDefault="008B197E">
      <w:pPr>
        <w:spacing w:after="120"/>
        <w:rPr>
          <w:color w:val="FF0000"/>
        </w:rPr>
      </w:pPr>
      <w:r w:rsidRPr="001D7590">
        <w:rPr>
          <w:color w:val="FF0000"/>
        </w:rPr>
        <w:t>Place Tables/Figures/Images in text as close to the reference as possible (see Figure 1).  It may extend across both columns to a maximum width of 17.78 cm (7”).</w:t>
      </w:r>
    </w:p>
    <w:p w:rsidR="008B197E" w:rsidRPr="001D7590" w:rsidRDefault="008B197E">
      <w:pPr>
        <w:spacing w:after="120"/>
        <w:rPr>
          <w:color w:val="FF0000"/>
        </w:rPr>
      </w:pPr>
      <w:r w:rsidRPr="001D7590">
        <w:rPr>
          <w:color w:val="FF0000"/>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Pr="00922D7A" w:rsidRDefault="00922D7A">
      <w:pPr>
        <w:pStyle w:val="Heading1"/>
        <w:spacing w:before="120"/>
      </w:pPr>
      <w:r w:rsidRPr="00922D7A">
        <w:t>TECHNIQUES FOR REPRODUCTION</w:t>
      </w:r>
    </w:p>
    <w:p w:rsidR="008B197E" w:rsidRPr="001D7590" w:rsidRDefault="009D7B5B">
      <w:pPr>
        <w:pStyle w:val="BodyTextIndent"/>
        <w:spacing w:after="120"/>
        <w:ind w:firstLine="0"/>
        <w:rPr>
          <w:color w:val="FF0000"/>
        </w:rPr>
      </w:pPr>
      <w:r w:rsidRPr="001D7590">
        <w:rPr>
          <w:noProof/>
          <w:color w:val="FF0000"/>
          <w:sz w:val="20"/>
        </w:rPr>
        <mc:AlternateContent>
          <mc:Choice Requires="wpg">
            <w:drawing>
              <wp:anchor distT="0" distB="0" distL="114300" distR="114300" simplePos="0" relativeHeight="251657728" behindDoc="0" locked="0" layoutInCell="1" allowOverlap="1" wp14:anchorId="764B980C" wp14:editId="4D14E9E3">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C5A48" w:rsidRDefault="008C5A48">
                              <w:pPr>
                                <w:pStyle w:val="Caption"/>
                              </w:pPr>
                              <w:proofErr w:type="gramStart"/>
                              <w:r>
                                <w:t>Figure 1.</w:t>
                              </w:r>
                              <w:proofErr w:type="gramEnd"/>
                              <w:r>
                                <w:t xml:space="preserve"> Insert caption to place caption below figure.</w:t>
                              </w:r>
                            </w:p>
                            <w:p w:rsidR="008C5A48" w:rsidRDefault="008C5A48">
                              <w:pPr>
                                <w:pStyle w:val="Caption"/>
                              </w:pPr>
                            </w:p>
                            <w:p w:rsidR="008C5A48" w:rsidRDefault="008C5A48">
                              <w:pPr>
                                <w:pStyle w:val="Caption"/>
                              </w:pPr>
                              <w:r>
                                <w:t>.</w:t>
                              </w:r>
                            </w:p>
                            <w:p w:rsidR="008C5A48" w:rsidRDefault="008C5A48">
                              <w:pPr>
                                <w:rPr>
                                  <w:lang w:val="en-AU"/>
                                </w:rPr>
                              </w:pPr>
                            </w:p>
                            <w:p w:rsidR="008C5A48" w:rsidRDefault="008C5A48">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8C5A48" w:rsidRDefault="008C5A48">
                        <w:pPr>
                          <w:pStyle w:val="Caption"/>
                        </w:pPr>
                        <w:proofErr w:type="gramStart"/>
                        <w:r>
                          <w:t>Figure 1.</w:t>
                        </w:r>
                        <w:proofErr w:type="gramEnd"/>
                        <w:r>
                          <w:t xml:space="preserve"> Insert caption to place caption below figure.</w:t>
                        </w:r>
                      </w:p>
                      <w:p w:rsidR="008C5A48" w:rsidRDefault="008C5A48">
                        <w:pPr>
                          <w:pStyle w:val="Caption"/>
                        </w:pPr>
                      </w:p>
                      <w:p w:rsidR="008C5A48" w:rsidRDefault="008C5A48">
                        <w:pPr>
                          <w:pStyle w:val="Caption"/>
                        </w:pPr>
                        <w:r>
                          <w:t>.</w:t>
                        </w:r>
                      </w:p>
                      <w:p w:rsidR="008C5A48" w:rsidRDefault="008C5A48">
                        <w:pPr>
                          <w:rPr>
                            <w:lang w:val="en-AU"/>
                          </w:rPr>
                        </w:pPr>
                      </w:p>
                      <w:p w:rsidR="008C5A48" w:rsidRDefault="008C5A48">
                        <w:pPr>
                          <w:rPr>
                            <w:lang w:val="en-AU"/>
                          </w:rPr>
                        </w:pPr>
                      </w:p>
                    </w:txbxContent>
                  </v:textbox>
                </v:shape>
                <w10:wrap type="square"/>
              </v:group>
            </w:pict>
          </mc:Fallback>
        </mc:AlternateContent>
      </w:r>
      <w:r w:rsidR="00922D7A">
        <w:rPr>
          <w:color w:val="FF0000"/>
        </w:rPr>
        <w:t>&lt;Write text here&gt;</w:t>
      </w:r>
      <w:r w:rsidR="008B197E" w:rsidRPr="001D7590">
        <w:rPr>
          <w:color w:val="FF0000"/>
        </w:rPr>
        <w:t>.</w:t>
      </w:r>
    </w:p>
    <w:p w:rsidR="008B197E" w:rsidRPr="006F33B4" w:rsidRDefault="006F33B4">
      <w:pPr>
        <w:pStyle w:val="Heading2"/>
        <w:spacing w:before="120"/>
      </w:pPr>
      <w:r w:rsidRPr="006F33B4">
        <w:t>Environment</w:t>
      </w:r>
    </w:p>
    <w:p w:rsidR="008B197E" w:rsidRPr="001D7590" w:rsidRDefault="008B197E">
      <w:pPr>
        <w:spacing w:after="120"/>
        <w:rPr>
          <w:color w:val="FF0000"/>
        </w:rPr>
      </w:pPr>
      <w:r w:rsidRPr="001D7590">
        <w:rPr>
          <w:color w:val="FF0000"/>
        </w:rPr>
        <w:t xml:space="preserve">The heading of subsections should be in Times New Roman 12-point bold with only the initial letters capitalized. (Note: For subsections and subsubsections, a word like </w:t>
      </w:r>
      <w:proofErr w:type="gramStart"/>
      <w:r w:rsidRPr="001D7590">
        <w:rPr>
          <w:i/>
          <w:color w:val="FF0000"/>
        </w:rPr>
        <w:t>the</w:t>
      </w:r>
      <w:r w:rsidRPr="001D7590">
        <w:rPr>
          <w:color w:val="FF0000"/>
        </w:rPr>
        <w:t xml:space="preserve"> or</w:t>
      </w:r>
      <w:proofErr w:type="gramEnd"/>
      <w:r w:rsidRPr="001D7590">
        <w:rPr>
          <w:color w:val="FF0000"/>
        </w:rPr>
        <w:t xml:space="preserve"> </w:t>
      </w:r>
      <w:r w:rsidRPr="001D7590">
        <w:rPr>
          <w:i/>
          <w:color w:val="FF0000"/>
        </w:rPr>
        <w:t>a</w:t>
      </w:r>
      <w:r w:rsidRPr="001D7590">
        <w:rPr>
          <w:color w:val="FF0000"/>
        </w:rPr>
        <w:t xml:space="preserve"> is not capitalized unless it is the first word of the header.)</w:t>
      </w:r>
    </w:p>
    <w:p w:rsidR="008B197E" w:rsidRPr="006F33B4" w:rsidRDefault="006F33B4">
      <w:pPr>
        <w:pStyle w:val="Heading3"/>
        <w:spacing w:before="120"/>
      </w:pPr>
      <w:r w:rsidRPr="006F33B4">
        <w:t xml:space="preserve">Android </w:t>
      </w:r>
      <w:proofErr w:type="spellStart"/>
      <w:r>
        <w:t>x86</w:t>
      </w:r>
      <w:proofErr w:type="spellEnd"/>
      <w:r>
        <w:t xml:space="preserve"> </w:t>
      </w:r>
      <w:r w:rsidRPr="006F33B4">
        <w:t>OS</w:t>
      </w:r>
    </w:p>
    <w:p w:rsidR="008B197E" w:rsidRPr="006F33B4" w:rsidRDefault="006F33B4">
      <w:pPr>
        <w:pStyle w:val="BodyTextIndent"/>
        <w:spacing w:after="120"/>
        <w:ind w:firstLine="0"/>
      </w:pPr>
      <w:r w:rsidRPr="006F33B4">
        <w:t xml:space="preserve">We initially planned to use the Android </w:t>
      </w:r>
      <w:proofErr w:type="spellStart"/>
      <w:r w:rsidRPr="006F33B4">
        <w:t>x86</w:t>
      </w:r>
      <w:proofErr w:type="spellEnd"/>
      <w:r w:rsidRPr="006F33B4">
        <w:t xml:space="preserve"> </w:t>
      </w:r>
      <w:proofErr w:type="gramStart"/>
      <w:r w:rsidRPr="006F33B4">
        <w:t>version</w:t>
      </w:r>
      <w:proofErr w:type="gramEnd"/>
      <w:r w:rsidRPr="006F33B4">
        <w:t xml:space="preserve"> of the OS for replicating the </w:t>
      </w:r>
      <w:proofErr w:type="spellStart"/>
      <w:r w:rsidRPr="006F33B4">
        <w:t>Stagefright</w:t>
      </w:r>
      <w:proofErr w:type="spellEnd"/>
      <w:r w:rsidRPr="006F33B4">
        <w:t xml:space="preserve"> exploit; however we were unable to find a way to emulate sending of text messages, specifically MMS messages with this version of the OS</w:t>
      </w:r>
      <w:r w:rsidR="008B197E" w:rsidRPr="006F33B4">
        <w:t>.</w:t>
      </w:r>
      <w:r w:rsidRPr="006F33B4">
        <w:t xml:space="preserve"> Since MMS is one of the best and most likely </w:t>
      </w:r>
      <w:proofErr w:type="gramStart"/>
      <w:r w:rsidRPr="006F33B4">
        <w:t>way</w:t>
      </w:r>
      <w:proofErr w:type="gramEnd"/>
      <w:r w:rsidRPr="006F33B4">
        <w:t xml:space="preserve"> this exploit would be delivered to the public, we decided to find an environment that would allow us to deliver the exploit in this manner.</w:t>
      </w:r>
    </w:p>
    <w:p w:rsidR="006F33B4" w:rsidRPr="006F33B4" w:rsidRDefault="006F33B4" w:rsidP="006F33B4">
      <w:pPr>
        <w:pStyle w:val="Heading3"/>
        <w:spacing w:before="120"/>
      </w:pPr>
      <w:r w:rsidRPr="006F33B4">
        <w:t>Android</w:t>
      </w:r>
      <w:r>
        <w:t xml:space="preserve"> Studio</w:t>
      </w:r>
    </w:p>
    <w:p w:rsidR="006F33B4" w:rsidRPr="00B342BC" w:rsidRDefault="006F33B4" w:rsidP="006F33B4">
      <w:pPr>
        <w:pStyle w:val="BodyTextIndent"/>
        <w:spacing w:after="120"/>
        <w:ind w:firstLine="0"/>
      </w:pPr>
      <w:r w:rsidRPr="00B342BC">
        <w:t xml:space="preserve">After our issues with the Android </w:t>
      </w:r>
      <w:proofErr w:type="spellStart"/>
      <w:r w:rsidRPr="00B342BC">
        <w:t>x86</w:t>
      </w:r>
      <w:proofErr w:type="spellEnd"/>
      <w:r w:rsidRPr="00B342BC">
        <w:t xml:space="preserve"> OS we tried Android Studio to spin up virtual instance of Android on PC. Android Studio allows the user to install and load any version of the Android OS on many different phone emulators. According to our research</w:t>
      </w:r>
      <w:r w:rsidR="00B342BC" w:rsidRPr="00B342BC">
        <w:t>,</w:t>
      </w:r>
      <w:r w:rsidRPr="00B342BC">
        <w:t xml:space="preserve"> the Android Emulator version allows for sending of </w:t>
      </w:r>
      <w:proofErr w:type="spellStart"/>
      <w:r w:rsidR="00B342BC" w:rsidRPr="00B342BC">
        <w:t>SMS</w:t>
      </w:r>
      <w:proofErr w:type="spellEnd"/>
      <w:r w:rsidR="00B342BC" w:rsidRPr="00B342BC">
        <w:t xml:space="preserve"> </w:t>
      </w:r>
      <w:r w:rsidRPr="00B342BC">
        <w:t>text messages</w:t>
      </w:r>
      <w:r w:rsidR="00B342BC" w:rsidRPr="00B342BC">
        <w:t xml:space="preserve"> through the command “</w:t>
      </w:r>
      <w:proofErr w:type="spellStart"/>
      <w:r w:rsidR="00B342BC" w:rsidRPr="00B342BC">
        <w:t>sms</w:t>
      </w:r>
      <w:proofErr w:type="spellEnd"/>
      <w:r w:rsidR="00B342BC" w:rsidRPr="00B342BC">
        <w:t xml:space="preserve"> send &lt;</w:t>
      </w:r>
      <w:proofErr w:type="spellStart"/>
      <w:r w:rsidR="00B342BC" w:rsidRPr="00B342BC">
        <w:t>senderPhoneNum</w:t>
      </w:r>
      <w:proofErr w:type="spellEnd"/>
      <w:r w:rsidR="00B342BC" w:rsidRPr="00B342BC">
        <w:t>&gt; &lt;</w:t>
      </w:r>
      <w:proofErr w:type="spellStart"/>
      <w:r w:rsidR="00B342BC" w:rsidRPr="00B342BC">
        <w:t>textMsgBody</w:t>
      </w:r>
      <w:proofErr w:type="spellEnd"/>
      <w:r w:rsidR="00B342BC" w:rsidRPr="00B342BC">
        <w:t>&gt;”</w:t>
      </w:r>
      <w:r w:rsidRPr="00B342BC">
        <w:t>.</w:t>
      </w:r>
    </w:p>
    <w:p w:rsidR="00B342BC" w:rsidRDefault="00B342BC" w:rsidP="006F33B4">
      <w:pPr>
        <w:pStyle w:val="BodyTextIndent"/>
        <w:spacing w:after="120"/>
        <w:ind w:firstLine="0"/>
      </w:pPr>
      <w:proofErr w:type="gramStart"/>
      <w:r w:rsidRPr="00B342BC">
        <w:t>Unfortunately</w:t>
      </w:r>
      <w:proofErr w:type="gramEnd"/>
      <w:r w:rsidRPr="00B342BC">
        <w:t xml:space="preserve"> after playing with the Android Emulator we discovered it would not meet our needs. While it is able to send </w:t>
      </w:r>
      <w:proofErr w:type="spellStart"/>
      <w:r w:rsidRPr="00B342BC">
        <w:t>SMS</w:t>
      </w:r>
      <w:proofErr w:type="spellEnd"/>
      <w:r w:rsidRPr="00B342BC">
        <w:t xml:space="preserve"> text messages, it is unable to send MMS messages. Since multimedia files </w:t>
      </w:r>
      <w:proofErr w:type="gramStart"/>
      <w:r w:rsidRPr="00B342BC">
        <w:t>are transmitted</w:t>
      </w:r>
      <w:proofErr w:type="gramEnd"/>
      <w:r w:rsidRPr="00B342BC">
        <w:t xml:space="preserve"> as MMS messages, not </w:t>
      </w:r>
      <w:proofErr w:type="spellStart"/>
      <w:r w:rsidRPr="00B342BC">
        <w:t>SMS</w:t>
      </w:r>
      <w:proofErr w:type="spellEnd"/>
      <w:r w:rsidRPr="00B342BC">
        <w:t xml:space="preserve"> messages, w</w:t>
      </w:r>
      <w:r>
        <w:t>e would have to find another way to transmit the MMS message in this tool.</w:t>
      </w:r>
    </w:p>
    <w:p w:rsidR="006F33B4" w:rsidRDefault="00B342BC" w:rsidP="006F33B4">
      <w:pPr>
        <w:pStyle w:val="BodyTextIndent"/>
        <w:spacing w:after="120"/>
        <w:ind w:firstLine="0"/>
        <w:rPr>
          <w:color w:val="FF0000"/>
        </w:rPr>
      </w:pPr>
      <w:r>
        <w:t xml:space="preserve">Before moving from Android Studio to yet another tool, we also looked at the possibility of using the </w:t>
      </w:r>
      <w:proofErr w:type="spellStart"/>
      <w:r>
        <w:t>Andoid</w:t>
      </w:r>
      <w:proofErr w:type="spellEnd"/>
      <w:r>
        <w:t xml:space="preserve"> app Google Hangouts to transmit the malicious MMS. Google Hangouts comes standard on the Android OS and allow for </w:t>
      </w:r>
      <w:proofErr w:type="spellStart"/>
      <w:r>
        <w:t>SMS</w:t>
      </w:r>
      <w:proofErr w:type="spellEnd"/>
      <w:r>
        <w:t xml:space="preserve">/MMS integration; however, even our attempts using Google Hangouts in Android Studio were unsuccessful and we </w:t>
      </w:r>
      <w:proofErr w:type="gramStart"/>
      <w:r>
        <w:t>were forced</w:t>
      </w:r>
      <w:proofErr w:type="gramEnd"/>
      <w:r>
        <w:t xml:space="preserve"> to find another way to deliver the exploit to the device.</w:t>
      </w:r>
    </w:p>
    <w:p w:rsidR="006F33B4" w:rsidRPr="006F33B4" w:rsidRDefault="00EF3234" w:rsidP="006F33B4">
      <w:pPr>
        <w:pStyle w:val="Heading3"/>
        <w:spacing w:before="120"/>
      </w:pPr>
      <w:proofErr w:type="spellStart"/>
      <w:r>
        <w:t>VMs</w:t>
      </w:r>
      <w:proofErr w:type="spellEnd"/>
      <w:r>
        <w:t xml:space="preserve"> and Physical Devices</w:t>
      </w:r>
    </w:p>
    <w:p w:rsidR="006F33B4" w:rsidRPr="00814F8B" w:rsidRDefault="000365DB" w:rsidP="006F33B4">
      <w:pPr>
        <w:pStyle w:val="BodyTextIndent"/>
        <w:spacing w:after="120"/>
        <w:ind w:firstLine="0"/>
      </w:pPr>
      <w:r w:rsidRPr="000365DB">
        <w:t xml:space="preserve">We finally employed the use of </w:t>
      </w:r>
      <w:proofErr w:type="spellStart"/>
      <w:r w:rsidRPr="000365DB">
        <w:t>Genymotion</w:t>
      </w:r>
      <w:proofErr w:type="spellEnd"/>
      <w:r w:rsidRPr="000365DB">
        <w:t xml:space="preserve"> </w:t>
      </w:r>
      <w:proofErr w:type="spellStart"/>
      <w:r w:rsidRPr="000365DB">
        <w:t>VMs</w:t>
      </w:r>
      <w:proofErr w:type="spellEnd"/>
      <w:r>
        <w:t xml:space="preserve"> (versions 4.1-4.4 as well as less vulnerable versions 4.4-5.1)</w:t>
      </w:r>
      <w:r w:rsidRPr="000365DB">
        <w:t xml:space="preserve">, </w:t>
      </w:r>
      <w:proofErr w:type="spellStart"/>
      <w:r w:rsidRPr="000365DB">
        <w:t>VMs</w:t>
      </w:r>
      <w:proofErr w:type="spellEnd"/>
      <w:r w:rsidRPr="000365DB">
        <w:t xml:space="preserve"> in the Android SDK emulator</w:t>
      </w:r>
      <w:r>
        <w:t xml:space="preserve"> (again on vulnerable versions 4.1-4.4 as well as 4.4-5.1)</w:t>
      </w:r>
      <w:r w:rsidRPr="000365DB">
        <w:t xml:space="preserve">, </w:t>
      </w:r>
      <w:r>
        <w:t xml:space="preserve">and even </w:t>
      </w:r>
      <w:r w:rsidRPr="000365DB">
        <w:t xml:space="preserve">a physical Nexus 7 tablet running 4.1. After more research we discovered our issues with using Google Hangouts was due their disabling of </w:t>
      </w:r>
      <w:proofErr w:type="spellStart"/>
      <w:r w:rsidRPr="000365DB">
        <w:t>MP4</w:t>
      </w:r>
      <w:proofErr w:type="spellEnd"/>
      <w:r w:rsidRPr="000365DB">
        <w:t xml:space="preserve"> messages, which was the type of file we were using as an exploit package.</w:t>
      </w:r>
      <w:r>
        <w:t xml:space="preserve"> However, </w:t>
      </w:r>
      <w:proofErr w:type="spellStart"/>
      <w:r>
        <w:t>Zimperium</w:t>
      </w:r>
      <w:proofErr w:type="spellEnd"/>
      <w:r>
        <w:t xml:space="preserve"> </w:t>
      </w:r>
      <w:proofErr w:type="spellStart"/>
      <w:r>
        <w:t>zLabs</w:t>
      </w:r>
      <w:proofErr w:type="spellEnd"/>
      <w:r>
        <w:t xml:space="preserve"> also divulged the phone was vulnerable in whatever way the file could get onto the system, so we were able to deliver the exploit package through other means (</w:t>
      </w:r>
      <w:r w:rsidR="00814F8B">
        <w:rPr>
          <w:color w:val="FF0000"/>
        </w:rPr>
        <w:t>methods d</w:t>
      </w:r>
      <w:r w:rsidRPr="00814F8B">
        <w:rPr>
          <w:color w:val="FF0000"/>
        </w:rPr>
        <w:t>iscussed previously</w:t>
      </w:r>
      <w:r w:rsidR="00814F8B" w:rsidRPr="00814F8B">
        <w:rPr>
          <w:color w:val="FF0000"/>
        </w:rPr>
        <w:t xml:space="preserve"> in &lt;&gt;</w:t>
      </w:r>
      <w:r>
        <w:t>).</w:t>
      </w:r>
    </w:p>
    <w:p w:rsidR="008B197E" w:rsidRPr="001D7590" w:rsidRDefault="008B197E">
      <w:pPr>
        <w:pStyle w:val="Heading4"/>
        <w:spacing w:before="120"/>
        <w:rPr>
          <w:color w:val="FF0000"/>
        </w:rPr>
      </w:pPr>
      <w:bookmarkStart w:id="0" w:name="_GoBack"/>
      <w:bookmarkEnd w:id="0"/>
      <w:proofErr w:type="spellStart"/>
      <w:r w:rsidRPr="001D7590">
        <w:rPr>
          <w:color w:val="FF0000"/>
        </w:rPr>
        <w:t>Subsubsections</w:t>
      </w:r>
      <w:proofErr w:type="spellEnd"/>
    </w:p>
    <w:p w:rsidR="008B197E" w:rsidRPr="001D7590" w:rsidRDefault="008B197E">
      <w:pPr>
        <w:pStyle w:val="BodyTextIndent"/>
        <w:spacing w:after="120"/>
        <w:ind w:firstLine="0"/>
        <w:rPr>
          <w:color w:val="FF0000"/>
        </w:rPr>
      </w:pPr>
      <w:r w:rsidRPr="001D7590">
        <w:rPr>
          <w:color w:val="FF0000"/>
        </w:rPr>
        <w:t>The heading for subsubsections should be in Times New Roman 11-point italic with initial letters capitalized.</w:t>
      </w:r>
    </w:p>
    <w:p w:rsidR="008B197E" w:rsidRPr="001D7590" w:rsidRDefault="008B197E">
      <w:pPr>
        <w:pStyle w:val="Heading4"/>
        <w:spacing w:before="120"/>
        <w:rPr>
          <w:color w:val="FF0000"/>
        </w:rPr>
      </w:pPr>
      <w:r w:rsidRPr="001D7590">
        <w:rPr>
          <w:color w:val="FF0000"/>
        </w:rPr>
        <w:t>Subsubsections</w:t>
      </w:r>
    </w:p>
    <w:p w:rsidR="008B197E" w:rsidRPr="001D7590" w:rsidRDefault="008B197E">
      <w:pPr>
        <w:pStyle w:val="BodyTextIndent"/>
        <w:spacing w:after="120"/>
        <w:ind w:firstLine="0"/>
        <w:rPr>
          <w:color w:val="FF0000"/>
        </w:rPr>
      </w:pPr>
      <w:r w:rsidRPr="001D7590">
        <w:rPr>
          <w:color w:val="FF0000"/>
        </w:rPr>
        <w:t>The heading for subsubsections should be in Times New Roman 11-point italic with initial letters capitalized.</w:t>
      </w:r>
    </w:p>
    <w:p w:rsidR="00922D7A" w:rsidRPr="00922D7A" w:rsidRDefault="00922D7A" w:rsidP="00922D7A">
      <w:pPr>
        <w:pStyle w:val="Heading1"/>
        <w:spacing w:before="120"/>
      </w:pPr>
      <w:r>
        <w:t>&lt;&gt;</w:t>
      </w:r>
    </w:p>
    <w:p w:rsidR="00922D7A" w:rsidRPr="001D7590" w:rsidRDefault="00922D7A" w:rsidP="00922D7A">
      <w:pPr>
        <w:pStyle w:val="BodyTextIndent"/>
        <w:spacing w:after="120"/>
        <w:ind w:firstLine="0"/>
        <w:rPr>
          <w:color w:val="FF0000"/>
        </w:rPr>
      </w:pPr>
      <w:proofErr w:type="gramStart"/>
      <w:r>
        <w:rPr>
          <w:color w:val="FF0000"/>
        </w:rPr>
        <w:t xml:space="preserve">Blah </w:t>
      </w:r>
      <w:proofErr w:type="spellStart"/>
      <w:r>
        <w:rPr>
          <w:color w:val="FF0000"/>
        </w:rPr>
        <w:t>blah</w:t>
      </w:r>
      <w:proofErr w:type="spellEnd"/>
      <w:r>
        <w:rPr>
          <w:color w:val="FF0000"/>
        </w:rPr>
        <w:t xml:space="preserve"> </w:t>
      </w:r>
      <w:proofErr w:type="spellStart"/>
      <w:r>
        <w:rPr>
          <w:color w:val="FF0000"/>
        </w:rPr>
        <w:t>blah</w:t>
      </w:r>
      <w:proofErr w:type="spellEnd"/>
      <w:r>
        <w:rPr>
          <w:color w:val="FF0000"/>
        </w:rPr>
        <w:t xml:space="preserve"> de blah</w:t>
      </w:r>
      <w:r w:rsidRPr="001D7590">
        <w:rPr>
          <w:color w:val="FF0000"/>
        </w:rPr>
        <w:t>.</w:t>
      </w:r>
      <w:proofErr w:type="gramEnd"/>
    </w:p>
    <w:p w:rsidR="00922D7A" w:rsidRPr="00922D7A" w:rsidRDefault="00922D7A" w:rsidP="00922D7A">
      <w:pPr>
        <w:pStyle w:val="Heading1"/>
        <w:spacing w:before="120"/>
      </w:pPr>
      <w:r w:rsidRPr="00922D7A">
        <w:t>CONCLUSION</w:t>
      </w:r>
    </w:p>
    <w:p w:rsidR="00922D7A" w:rsidRPr="001D7590" w:rsidRDefault="00922D7A" w:rsidP="00922D7A">
      <w:pPr>
        <w:pStyle w:val="BodyTextIndent"/>
        <w:spacing w:after="120"/>
        <w:ind w:firstLine="0"/>
        <w:rPr>
          <w:color w:val="FF0000"/>
        </w:rPr>
      </w:pPr>
      <w:proofErr w:type="gramStart"/>
      <w:r>
        <w:rPr>
          <w:color w:val="FF0000"/>
        </w:rPr>
        <w:t xml:space="preserve">Blah </w:t>
      </w:r>
      <w:proofErr w:type="spellStart"/>
      <w:r>
        <w:rPr>
          <w:color w:val="FF0000"/>
        </w:rPr>
        <w:t>blah</w:t>
      </w:r>
      <w:proofErr w:type="spellEnd"/>
      <w:r>
        <w:rPr>
          <w:color w:val="FF0000"/>
        </w:rPr>
        <w:t xml:space="preserve"> </w:t>
      </w:r>
      <w:proofErr w:type="spellStart"/>
      <w:r>
        <w:rPr>
          <w:color w:val="FF0000"/>
        </w:rPr>
        <w:t>blah</w:t>
      </w:r>
      <w:proofErr w:type="spellEnd"/>
      <w:r>
        <w:rPr>
          <w:color w:val="FF0000"/>
        </w:rPr>
        <w:t xml:space="preserve"> de blah</w:t>
      </w:r>
      <w:r w:rsidRPr="001D7590">
        <w:rPr>
          <w:color w:val="FF0000"/>
        </w:rPr>
        <w:t>.</w:t>
      </w:r>
      <w:proofErr w:type="gramEnd"/>
    </w:p>
    <w:p w:rsidR="008B197E" w:rsidRPr="00922D7A" w:rsidRDefault="008B197E">
      <w:pPr>
        <w:pStyle w:val="Heading1"/>
        <w:spacing w:before="120"/>
      </w:pPr>
      <w:r w:rsidRPr="00922D7A">
        <w:t>ACKNOWLEDGMENTS</w:t>
      </w:r>
    </w:p>
    <w:p w:rsidR="00922D7A" w:rsidRPr="001D7590" w:rsidRDefault="008B197E" w:rsidP="00922D7A">
      <w:pPr>
        <w:pStyle w:val="BodyTextIndent"/>
        <w:spacing w:after="120"/>
        <w:ind w:firstLine="0"/>
        <w:rPr>
          <w:color w:val="FF0000"/>
        </w:rPr>
      </w:pPr>
      <w:r w:rsidRPr="001D7590">
        <w:rPr>
          <w:color w:val="FF0000"/>
        </w:rPr>
        <w:t>Our thanks to ACM SIGCHI for allowing us to modify templates they had developed.</w:t>
      </w:r>
      <w:r w:rsidR="00922D7A" w:rsidRPr="00922D7A">
        <w:rPr>
          <w:color w:val="FF0000"/>
        </w:rPr>
        <w:t xml:space="preserve"> </w:t>
      </w:r>
      <w:proofErr w:type="gramStart"/>
      <w:r w:rsidR="00922D7A">
        <w:rPr>
          <w:color w:val="FF0000"/>
        </w:rPr>
        <w:t xml:space="preserve">Blah </w:t>
      </w:r>
      <w:proofErr w:type="spellStart"/>
      <w:r w:rsidR="00922D7A">
        <w:rPr>
          <w:color w:val="FF0000"/>
        </w:rPr>
        <w:t>blah</w:t>
      </w:r>
      <w:proofErr w:type="spellEnd"/>
      <w:r w:rsidR="00922D7A">
        <w:rPr>
          <w:color w:val="FF0000"/>
        </w:rPr>
        <w:t xml:space="preserve"> </w:t>
      </w:r>
      <w:proofErr w:type="spellStart"/>
      <w:r w:rsidR="00922D7A">
        <w:rPr>
          <w:color w:val="FF0000"/>
        </w:rPr>
        <w:t>blah</w:t>
      </w:r>
      <w:proofErr w:type="spellEnd"/>
      <w:r w:rsidR="00922D7A">
        <w:rPr>
          <w:color w:val="FF0000"/>
        </w:rPr>
        <w:t xml:space="preserve"> de blah</w:t>
      </w:r>
      <w:r w:rsidR="00922D7A" w:rsidRPr="001D7590">
        <w:rPr>
          <w:color w:val="FF0000"/>
        </w:rPr>
        <w:t>.</w:t>
      </w:r>
      <w:proofErr w:type="gramEnd"/>
    </w:p>
    <w:p w:rsidR="008B197E" w:rsidRPr="001D7590" w:rsidRDefault="008B197E">
      <w:pPr>
        <w:pStyle w:val="Heading1"/>
        <w:spacing w:before="120"/>
        <w:rPr>
          <w:color w:val="FF0000"/>
        </w:rPr>
      </w:pPr>
      <w:r w:rsidRPr="001D7590">
        <w:rPr>
          <w:color w:val="FF0000"/>
        </w:rPr>
        <w:t>REFERENCES</w:t>
      </w:r>
    </w:p>
    <w:p w:rsidR="00122A23" w:rsidRDefault="004F3864" w:rsidP="00135ADC">
      <w:pPr>
        <w:pStyle w:val="References"/>
      </w:pPr>
      <w:proofErr w:type="spellStart"/>
      <w:proofErr w:type="gramStart"/>
      <w:r w:rsidRPr="004F3864">
        <w:t>Zimperium</w:t>
      </w:r>
      <w:proofErr w:type="spellEnd"/>
      <w:r w:rsidRPr="004F3864">
        <w:t xml:space="preserve"> Mobile Security Blog.</w:t>
      </w:r>
      <w:proofErr w:type="gramEnd"/>
      <w:r w:rsidRPr="004F3864">
        <w:t xml:space="preserve"> “Experts Found </w:t>
      </w:r>
      <w:proofErr w:type="gramStart"/>
      <w:r w:rsidRPr="004F3864">
        <w:t>A</w:t>
      </w:r>
      <w:proofErr w:type="gramEnd"/>
      <w:r w:rsidRPr="004F3864">
        <w:t xml:space="preserve"> Unicorn In The Heart Of Android”</w:t>
      </w:r>
      <w:r>
        <w:t xml:space="preserve"> </w:t>
      </w:r>
      <w:proofErr w:type="spellStart"/>
      <w:r>
        <w:t>N.p</w:t>
      </w:r>
      <w:proofErr w:type="spellEnd"/>
      <w:r>
        <w:t xml:space="preserve">., </w:t>
      </w:r>
      <w:r w:rsidR="00135ADC" w:rsidRPr="00135ADC">
        <w:t>https://blog.zimperium.com/experts-found-a-unicorn-in-the-heart-of-android/</w:t>
      </w:r>
      <w:r w:rsidR="00135ADC">
        <w:t xml:space="preserve"> </w:t>
      </w:r>
      <w:r w:rsidRPr="004F3864">
        <w:t>Web. 05 Nov. 2015.</w:t>
      </w:r>
    </w:p>
    <w:p w:rsidR="00135ADC" w:rsidRPr="004F3864" w:rsidRDefault="00135ADC" w:rsidP="00135ADC">
      <w:pPr>
        <w:pStyle w:val="References"/>
      </w:pPr>
      <w:r>
        <w:t>YouTube</w:t>
      </w:r>
      <w:r w:rsidR="00281A61">
        <w:t xml:space="preserve">: </w:t>
      </w:r>
      <w:proofErr w:type="spellStart"/>
      <w:r w:rsidR="00281A61">
        <w:t>Blackhat</w:t>
      </w:r>
      <w:proofErr w:type="spellEnd"/>
      <w:r>
        <w:t xml:space="preserve"> “</w:t>
      </w:r>
      <w:proofErr w:type="spellStart"/>
      <w:r>
        <w:t>Stagefright</w:t>
      </w:r>
      <w:proofErr w:type="spellEnd"/>
      <w:r>
        <w:t xml:space="preserve">: Scary Code in the Heart of Android” </w:t>
      </w:r>
      <w:r w:rsidRPr="00135ADC">
        <w:t>https://www.youtube.com/watch?v=71YP65UANP0</w:t>
      </w:r>
      <w:r>
        <w:t xml:space="preserve"> Web. Nov. 2015</w:t>
      </w:r>
    </w:p>
    <w:p w:rsidR="008B197E" w:rsidRPr="004F3864" w:rsidRDefault="004F3864" w:rsidP="004F3864">
      <w:pPr>
        <w:pStyle w:val="References"/>
      </w:pPr>
      <w:r w:rsidRPr="004F3864">
        <w:t>Exploit</w:t>
      </w:r>
      <w:r>
        <w:t xml:space="preserve"> Database</w:t>
      </w:r>
      <w:r w:rsidRPr="004F3864">
        <w:t xml:space="preserve">. “Android Stagefright – Remote Code Execution” </w:t>
      </w:r>
      <w:proofErr w:type="spellStart"/>
      <w:proofErr w:type="gramStart"/>
      <w:r w:rsidRPr="004F3864">
        <w:t>N.p</w:t>
      </w:r>
      <w:proofErr w:type="spellEnd"/>
      <w:proofErr w:type="gramEnd"/>
      <w:r w:rsidRPr="004F3864">
        <w:t>., https://www.exploit-db.com/exploits/38124/</w:t>
      </w:r>
      <w:r>
        <w:t xml:space="preserve"> </w:t>
      </w:r>
      <w:r w:rsidRPr="004F3864">
        <w:t>Web. 05 Nov. 2015</w:t>
      </w:r>
      <w:r w:rsidR="006A044B" w:rsidRPr="004F3864">
        <w:t>.</w:t>
      </w:r>
      <w:r w:rsidR="008B197E" w:rsidRPr="004F3864">
        <w:t xml:space="preserve"> </w:t>
      </w:r>
    </w:p>
    <w:p w:rsidR="004F3864" w:rsidRPr="00135ADC" w:rsidRDefault="004F3864" w:rsidP="004F3864">
      <w:pPr>
        <w:pStyle w:val="References"/>
      </w:pPr>
      <w:proofErr w:type="gramStart"/>
      <w:r w:rsidRPr="00135ADC">
        <w:t>Hacker 9: The Unruly Security Channel.</w:t>
      </w:r>
      <w:proofErr w:type="gramEnd"/>
      <w:r w:rsidRPr="00135ADC">
        <w:t xml:space="preserve"> “Hacking any android smartphone using ‘</w:t>
      </w:r>
      <w:proofErr w:type="spellStart"/>
      <w:r w:rsidRPr="00135ADC">
        <w:t>Stagefright</w:t>
      </w:r>
      <w:proofErr w:type="spellEnd"/>
      <w:r w:rsidRPr="00135ADC">
        <w:t xml:space="preserve">’ vulnerability” </w:t>
      </w:r>
      <w:proofErr w:type="spellStart"/>
      <w:proofErr w:type="gramStart"/>
      <w:r w:rsidRPr="00135ADC">
        <w:t>N.p</w:t>
      </w:r>
      <w:proofErr w:type="spellEnd"/>
      <w:proofErr w:type="gramEnd"/>
      <w:r w:rsidRPr="00135ADC">
        <w:t>., http://www.hacker9.com/hack-android-smartphone-vulnerability.html Web. 05 Nov. 2015.</w:t>
      </w:r>
    </w:p>
    <w:p w:rsidR="006A044B" w:rsidRPr="00135ADC" w:rsidRDefault="00135ADC" w:rsidP="00135ADC">
      <w:pPr>
        <w:pStyle w:val="References"/>
      </w:pPr>
      <w:proofErr w:type="gramStart"/>
      <w:r w:rsidRPr="00135ADC">
        <w:lastRenderedPageBreak/>
        <w:t>The Hacker News: Security in a serious way</w:t>
      </w:r>
      <w:r w:rsidR="002D6A57" w:rsidRPr="00135ADC">
        <w:t>.</w:t>
      </w:r>
      <w:proofErr w:type="gramEnd"/>
      <w:r w:rsidRPr="00135ADC">
        <w:t xml:space="preserve"> “How to Hack Millions of Android Phones Using Stagefright Bug, Without Sending MMS” </w:t>
      </w:r>
      <w:proofErr w:type="spellStart"/>
      <w:proofErr w:type="gramStart"/>
      <w:r w:rsidRPr="00135ADC">
        <w:t>N.p</w:t>
      </w:r>
      <w:proofErr w:type="spellEnd"/>
      <w:proofErr w:type="gramEnd"/>
      <w:r w:rsidRPr="00135ADC">
        <w:t>., http://thehackernews.com/2015/07/how-to-hack-android-phone.html Web. 05 Nov. 2015</w:t>
      </w:r>
      <w:r>
        <w:t>.</w:t>
      </w:r>
    </w:p>
    <w:p w:rsidR="007C08CF" w:rsidRPr="00135ADC" w:rsidRDefault="00135ADC" w:rsidP="00135ADC">
      <w:pPr>
        <w:pStyle w:val="References"/>
      </w:pPr>
      <w:r w:rsidRPr="00135ADC">
        <w:t xml:space="preserve">Exploit Database. “Android </w:t>
      </w:r>
      <w:proofErr w:type="spellStart"/>
      <w:r>
        <w:t>libs</w:t>
      </w:r>
      <w:r w:rsidRPr="00135ADC">
        <w:t>tagefright</w:t>
      </w:r>
      <w:proofErr w:type="spellEnd"/>
      <w:r w:rsidRPr="00135ADC">
        <w:t xml:space="preserve"> – </w:t>
      </w:r>
      <w:r>
        <w:t xml:space="preserve">Integer Overflow Remote Code </w:t>
      </w:r>
      <w:proofErr w:type="spellStart"/>
      <w:r>
        <w:t>Execusion</w:t>
      </w:r>
      <w:proofErr w:type="spellEnd"/>
      <w:r w:rsidRPr="00135ADC">
        <w:t xml:space="preserve">” </w:t>
      </w:r>
      <w:proofErr w:type="spellStart"/>
      <w:proofErr w:type="gramStart"/>
      <w:r w:rsidRPr="00135ADC">
        <w:t>N.p</w:t>
      </w:r>
      <w:proofErr w:type="spellEnd"/>
      <w:proofErr w:type="gramEnd"/>
      <w:r w:rsidRPr="00135ADC">
        <w:t>., https://www.exploit-db.com/exploits/38226/ Web. 05 Nov. 2015</w:t>
      </w:r>
      <w:r w:rsidR="006A044B" w:rsidRPr="00135ADC">
        <w:t>.</w:t>
      </w:r>
    </w:p>
    <w:p w:rsidR="00135ADC" w:rsidRDefault="00135ADC" w:rsidP="00135ADC">
      <w:pPr>
        <w:pStyle w:val="References"/>
      </w:pPr>
      <w:proofErr w:type="gramStart"/>
      <w:r>
        <w:t>How-To Geek.</w:t>
      </w:r>
      <w:proofErr w:type="gramEnd"/>
      <w:r>
        <w:t xml:space="preserve"> “How to Install Android in </w:t>
      </w:r>
      <w:proofErr w:type="spellStart"/>
      <w:r>
        <w:t>VirtualBox</w:t>
      </w:r>
      <w:proofErr w:type="spellEnd"/>
      <w:r>
        <w:t xml:space="preserve">” </w:t>
      </w:r>
      <w:proofErr w:type="spellStart"/>
      <w:proofErr w:type="gramStart"/>
      <w:r>
        <w:t>N.p</w:t>
      </w:r>
      <w:proofErr w:type="spellEnd"/>
      <w:proofErr w:type="gramEnd"/>
      <w:r>
        <w:t xml:space="preserve">., </w:t>
      </w:r>
      <w:r w:rsidRPr="00135ADC">
        <w:t>http://www.howtogeek.com/164570/how-to-install-android-in-virtualbox/</w:t>
      </w:r>
      <w:r>
        <w:t xml:space="preserve"> Web. 05 Nov. 2015.</w:t>
      </w:r>
    </w:p>
    <w:p w:rsidR="00DA70EA" w:rsidRPr="00135ADC" w:rsidRDefault="00135ADC" w:rsidP="00135ADC">
      <w:pPr>
        <w:pStyle w:val="References"/>
      </w:pPr>
      <w:r w:rsidRPr="00135ADC">
        <w:lastRenderedPageBreak/>
        <w:t xml:space="preserve">Developer.android.com. “Android Studio Overview” </w:t>
      </w:r>
      <w:proofErr w:type="spellStart"/>
      <w:proofErr w:type="gramStart"/>
      <w:r w:rsidRPr="00135ADC">
        <w:t>N.p</w:t>
      </w:r>
      <w:proofErr w:type="spellEnd"/>
      <w:proofErr w:type="gramEnd"/>
      <w:r w:rsidRPr="00135ADC">
        <w:t>., http://developer.android.com/tools/studio/index.html Web. 05 Nov. 2015.</w:t>
      </w:r>
    </w:p>
    <w:p w:rsidR="00135ADC" w:rsidRPr="00135ADC" w:rsidRDefault="00135ADC" w:rsidP="00135ADC">
      <w:pPr>
        <w:pStyle w:val="References"/>
      </w:pPr>
      <w:r w:rsidRPr="00135ADC">
        <w:t>Developer.android.com. “</w:t>
      </w:r>
      <w:r>
        <w:t>Using the Emulator</w:t>
      </w:r>
      <w:r w:rsidRPr="00135ADC">
        <w:t xml:space="preserve">” </w:t>
      </w:r>
      <w:proofErr w:type="spellStart"/>
      <w:proofErr w:type="gramStart"/>
      <w:r w:rsidRPr="00135ADC">
        <w:t>N.p</w:t>
      </w:r>
      <w:proofErr w:type="spellEnd"/>
      <w:proofErr w:type="gramEnd"/>
      <w:r w:rsidRPr="00135ADC">
        <w:t>., http://developer.android.com/tools/devices/emulator.html</w:t>
      </w:r>
      <w:r>
        <w:t xml:space="preserve"> </w:t>
      </w:r>
      <w:r w:rsidRPr="00135ADC">
        <w:t>Web. 05 Nov. 2015.</w:t>
      </w:r>
    </w:p>
    <w:p w:rsidR="007C08CF" w:rsidRPr="00135ADC" w:rsidRDefault="00135ADC" w:rsidP="00135ADC">
      <w:pPr>
        <w:pStyle w:val="References"/>
      </w:pPr>
      <w:proofErr w:type="spellStart"/>
      <w:proofErr w:type="gramStart"/>
      <w:r w:rsidRPr="00135ADC">
        <w:t>Genymotion</w:t>
      </w:r>
      <w:proofErr w:type="spellEnd"/>
      <w:r w:rsidRPr="00135ADC">
        <w:t>.</w:t>
      </w:r>
      <w:proofErr w:type="gramEnd"/>
      <w:r w:rsidRPr="00135ADC">
        <w:t xml:space="preserve"> </w:t>
      </w:r>
      <w:proofErr w:type="spellStart"/>
      <w:proofErr w:type="gramStart"/>
      <w:r w:rsidRPr="00135ADC">
        <w:t>N.p</w:t>
      </w:r>
      <w:proofErr w:type="spellEnd"/>
      <w:proofErr w:type="gramEnd"/>
      <w:r w:rsidRPr="00135ADC">
        <w:t>., https://www.genymotion.com/#!/ Web. 05 Nov. 2015</w:t>
      </w:r>
      <w:r w:rsidR="00DA70EA" w:rsidRPr="00135ADC">
        <w:t>.</w:t>
      </w:r>
    </w:p>
    <w:p w:rsidR="008B197E" w:rsidRPr="001D7590" w:rsidRDefault="008B197E">
      <w:pPr>
        <w:pStyle w:val="References"/>
        <w:numPr>
          <w:ilvl w:val="0"/>
          <w:numId w:val="0"/>
        </w:numPr>
        <w:rPr>
          <w:color w:val="FF0000"/>
        </w:rPr>
      </w:pPr>
    </w:p>
    <w:p w:rsidR="008B197E" w:rsidRPr="001D7590" w:rsidRDefault="008B197E">
      <w:pPr>
        <w:pStyle w:val="References"/>
        <w:numPr>
          <w:ilvl w:val="0"/>
          <w:numId w:val="0"/>
        </w:numPr>
        <w:ind w:left="360" w:hanging="360"/>
        <w:rPr>
          <w:color w:val="FF0000"/>
        </w:rPr>
      </w:pPr>
    </w:p>
    <w:p w:rsidR="008B197E" w:rsidRPr="001D7590" w:rsidRDefault="008B197E">
      <w:pPr>
        <w:pStyle w:val="References"/>
        <w:numPr>
          <w:ilvl w:val="0"/>
          <w:numId w:val="0"/>
        </w:numPr>
        <w:ind w:left="360" w:hanging="360"/>
        <w:rPr>
          <w:color w:val="FF0000"/>
        </w:rPr>
        <w:sectPr w:rsidR="008B197E" w:rsidRPr="001D7590" w:rsidSect="003B4153">
          <w:type w:val="continuous"/>
          <w:pgSz w:w="12240" w:h="15840" w:code="1"/>
          <w:pgMar w:top="1080" w:right="1080" w:bottom="1440" w:left="1080" w:header="720" w:footer="720" w:gutter="0"/>
          <w:cols w:num="2" w:space="475"/>
        </w:sectPr>
      </w:pPr>
    </w:p>
    <w:p w:rsidR="008B197E" w:rsidRPr="001D7590" w:rsidRDefault="008B197E">
      <w:pPr>
        <w:pStyle w:val="Paper-Title"/>
        <w:rPr>
          <w:color w:val="FF0000"/>
        </w:rPr>
      </w:pPr>
      <w:r w:rsidRPr="001D7590">
        <w:rPr>
          <w:color w:val="FF0000"/>
        </w:rPr>
        <w:lastRenderedPageBreak/>
        <w:t>Columns on Last Page Should Be Made As Close As Possible to Equal Length</w:t>
      </w:r>
    </w:p>
    <w:sectPr w:rsidR="008B197E" w:rsidRPr="001D7590"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534" w:rsidRDefault="00D47534">
      <w:r>
        <w:separator/>
      </w:r>
    </w:p>
  </w:endnote>
  <w:endnote w:type="continuationSeparator" w:id="0">
    <w:p w:rsidR="00D47534" w:rsidRDefault="00D47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A48" w:rsidRDefault="008C5A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5A48" w:rsidRDefault="008C5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534" w:rsidRDefault="00D47534">
      <w:r>
        <w:separator/>
      </w:r>
    </w:p>
  </w:footnote>
  <w:footnote w:type="continuationSeparator" w:id="0">
    <w:p w:rsidR="00D47534" w:rsidRDefault="00D47534">
      <w:r>
        <w:continuationSeparator/>
      </w:r>
    </w:p>
  </w:footnote>
  <w:footnote w:id="1">
    <w:p w:rsidR="00922D7A" w:rsidRDefault="00922D7A" w:rsidP="00922D7A">
      <w:pPr>
        <w:pStyle w:val="FootnoteText"/>
      </w:pPr>
      <w:r>
        <w:rPr>
          <w:rStyle w:val="FootnoteReference"/>
        </w:rPr>
        <w:footnoteRef/>
      </w:r>
      <w:r>
        <w:tab/>
        <w:t xml:space="preserve">If necessary, you may place some address information in a </w:t>
      </w:r>
      <w:proofErr w:type="gramStart"/>
      <w:r>
        <w:t>footnote,</w:t>
      </w:r>
      <w:proofErr w:type="gramEnd"/>
      <w:r>
        <w:t xml:space="preserve"> or in a named section at the end of your paper.</w:t>
      </w:r>
    </w:p>
  </w:footnote>
  <w:footnote w:id="2">
    <w:p w:rsidR="008C5A48" w:rsidRDefault="008C5A48">
      <w:pPr>
        <w:pStyle w:val="FootnoteText"/>
      </w:pPr>
      <w:r>
        <w:rPr>
          <w:rStyle w:val="FootnoteReference"/>
        </w:rPr>
        <w:footnoteRef/>
      </w:r>
      <w:r>
        <w:tab/>
        <w:t xml:space="preserve">If necessary, you may place some address information in a </w:t>
      </w:r>
      <w:proofErr w:type="gramStart"/>
      <w:r>
        <w:t>footnote,</w:t>
      </w:r>
      <w:proofErr w:type="gramEnd"/>
      <w:r>
        <w:t xml:space="preserv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365DB"/>
    <w:rsid w:val="0009634A"/>
    <w:rsid w:val="000A6043"/>
    <w:rsid w:val="000C34FB"/>
    <w:rsid w:val="00122A23"/>
    <w:rsid w:val="00135ADC"/>
    <w:rsid w:val="001378B9"/>
    <w:rsid w:val="001578EE"/>
    <w:rsid w:val="00172159"/>
    <w:rsid w:val="001D7590"/>
    <w:rsid w:val="001E4A9D"/>
    <w:rsid w:val="00206035"/>
    <w:rsid w:val="00276401"/>
    <w:rsid w:val="0027698B"/>
    <w:rsid w:val="00281A61"/>
    <w:rsid w:val="002D2C9C"/>
    <w:rsid w:val="002D6A57"/>
    <w:rsid w:val="00375299"/>
    <w:rsid w:val="00377A65"/>
    <w:rsid w:val="003B4153"/>
    <w:rsid w:val="003B57E6"/>
    <w:rsid w:val="003E3258"/>
    <w:rsid w:val="00474255"/>
    <w:rsid w:val="004B5742"/>
    <w:rsid w:val="004D68FC"/>
    <w:rsid w:val="004F3864"/>
    <w:rsid w:val="00571CED"/>
    <w:rsid w:val="005842F9"/>
    <w:rsid w:val="005B6A93"/>
    <w:rsid w:val="005D28A1"/>
    <w:rsid w:val="00603A4D"/>
    <w:rsid w:val="0061710B"/>
    <w:rsid w:val="0062758A"/>
    <w:rsid w:val="00650302"/>
    <w:rsid w:val="0068547D"/>
    <w:rsid w:val="0069356A"/>
    <w:rsid w:val="006A044B"/>
    <w:rsid w:val="006A1FA3"/>
    <w:rsid w:val="006D451E"/>
    <w:rsid w:val="006F33B4"/>
    <w:rsid w:val="00737114"/>
    <w:rsid w:val="00755787"/>
    <w:rsid w:val="00787583"/>
    <w:rsid w:val="00793DF2"/>
    <w:rsid w:val="007C08CF"/>
    <w:rsid w:val="007C3600"/>
    <w:rsid w:val="00814F8B"/>
    <w:rsid w:val="008536AF"/>
    <w:rsid w:val="0087467E"/>
    <w:rsid w:val="008B0897"/>
    <w:rsid w:val="008B197E"/>
    <w:rsid w:val="008B1A77"/>
    <w:rsid w:val="008C5A48"/>
    <w:rsid w:val="008F7414"/>
    <w:rsid w:val="00922D7A"/>
    <w:rsid w:val="00941EFD"/>
    <w:rsid w:val="009B701B"/>
    <w:rsid w:val="009D7B5B"/>
    <w:rsid w:val="009F334B"/>
    <w:rsid w:val="00A105B5"/>
    <w:rsid w:val="00A60B73"/>
    <w:rsid w:val="00A66E61"/>
    <w:rsid w:val="00AA718F"/>
    <w:rsid w:val="00AE2664"/>
    <w:rsid w:val="00B342BC"/>
    <w:rsid w:val="00B606DF"/>
    <w:rsid w:val="00B63F89"/>
    <w:rsid w:val="00B91AA9"/>
    <w:rsid w:val="00BC4C60"/>
    <w:rsid w:val="00BF3697"/>
    <w:rsid w:val="00C7584B"/>
    <w:rsid w:val="00CB4646"/>
    <w:rsid w:val="00CC70B8"/>
    <w:rsid w:val="00CD7EC6"/>
    <w:rsid w:val="00D3292B"/>
    <w:rsid w:val="00D47534"/>
    <w:rsid w:val="00DA70EA"/>
    <w:rsid w:val="00DB7AD4"/>
    <w:rsid w:val="00E26518"/>
    <w:rsid w:val="00E3178B"/>
    <w:rsid w:val="00EC1F6A"/>
    <w:rsid w:val="00ED3D93"/>
    <w:rsid w:val="00EF3234"/>
    <w:rsid w:val="00F32B76"/>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library.caltech.edu/reference/abbreviation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753AF-C408-4441-B474-DE4A1AED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1606</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10474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6</cp:revision>
  <cp:lastPrinted>2011-01-13T15:51:00Z</cp:lastPrinted>
  <dcterms:created xsi:type="dcterms:W3CDTF">2015-12-18T02:37:00Z</dcterms:created>
  <dcterms:modified xsi:type="dcterms:W3CDTF">2015-12-18T14:59:00Z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