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3A4E" w:rsidP="00707515" w:rsidRDefault="00923A4E" w14:paraId="4FC1F7D5" w14:textId="77777777">
      <w:pPr>
        <w:spacing w:line="360" w:lineRule="auto"/>
        <w:rPr>
          <w:rFonts w:ascii="Times New Roman" w:hAnsi="Times New Roman" w:cs="Times New Roman"/>
          <w:b/>
          <w:bCs/>
        </w:rPr>
      </w:pPr>
    </w:p>
    <w:p w:rsidR="00923A4E" w:rsidP="00707515" w:rsidRDefault="00923A4E" w14:paraId="3DC0990C" w14:textId="77777777">
      <w:pPr>
        <w:spacing w:line="360" w:lineRule="auto"/>
        <w:rPr>
          <w:rFonts w:ascii="Times New Roman" w:hAnsi="Times New Roman" w:cs="Times New Roman"/>
          <w:b/>
          <w:bCs/>
        </w:rPr>
      </w:pPr>
    </w:p>
    <w:p w:rsidR="00923A4E" w:rsidP="00707515" w:rsidRDefault="00923A4E" w14:paraId="6FCAAA1C" w14:textId="77777777">
      <w:pPr>
        <w:spacing w:line="360" w:lineRule="auto"/>
        <w:rPr>
          <w:rFonts w:ascii="Times New Roman" w:hAnsi="Times New Roman" w:cs="Times New Roman"/>
          <w:b/>
          <w:bCs/>
        </w:rPr>
      </w:pPr>
    </w:p>
    <w:p w:rsidR="00651434" w:rsidP="00923A4E" w:rsidRDefault="00651434" w14:paraId="20CA6D18" w14:textId="77777777">
      <w:pPr>
        <w:spacing w:line="360" w:lineRule="auto"/>
        <w:jc w:val="center"/>
        <w:rPr>
          <w:rFonts w:ascii="Times New Roman" w:hAnsi="Times New Roman" w:cs="Times New Roman"/>
          <w:b/>
          <w:bCs/>
        </w:rPr>
      </w:pPr>
    </w:p>
    <w:p w:rsidR="00651434" w:rsidP="00923A4E" w:rsidRDefault="00651434" w14:paraId="641A2E02" w14:textId="77777777">
      <w:pPr>
        <w:spacing w:line="360" w:lineRule="auto"/>
        <w:jc w:val="center"/>
        <w:rPr>
          <w:rFonts w:ascii="Times New Roman" w:hAnsi="Times New Roman" w:cs="Times New Roman"/>
          <w:b/>
          <w:bCs/>
        </w:rPr>
      </w:pPr>
    </w:p>
    <w:p w:rsidR="00651434" w:rsidP="00923A4E" w:rsidRDefault="00651434" w14:paraId="2580E544" w14:textId="77777777">
      <w:pPr>
        <w:spacing w:line="360" w:lineRule="auto"/>
        <w:jc w:val="center"/>
        <w:rPr>
          <w:rFonts w:ascii="Times New Roman" w:hAnsi="Times New Roman" w:cs="Times New Roman"/>
          <w:b/>
          <w:bCs/>
        </w:rPr>
      </w:pPr>
    </w:p>
    <w:p w:rsidR="00707515" w:rsidP="00923A4E" w:rsidRDefault="00707515" w14:paraId="60D221A8" w14:textId="5B63FA29">
      <w:pPr>
        <w:spacing w:line="360" w:lineRule="auto"/>
        <w:jc w:val="center"/>
        <w:rPr>
          <w:rFonts w:ascii="Times New Roman" w:hAnsi="Times New Roman" w:cs="Times New Roman"/>
          <w:b/>
          <w:bCs/>
        </w:rPr>
      </w:pPr>
      <w:r w:rsidRPr="00707515">
        <w:rPr>
          <w:rFonts w:ascii="Times New Roman" w:hAnsi="Times New Roman" w:cs="Times New Roman"/>
          <w:b/>
          <w:bCs/>
        </w:rPr>
        <w:t>Routes of Drug Administration: A Comparison of Advantages and Disadvantages</w:t>
      </w:r>
    </w:p>
    <w:p w:rsidR="00923A4E" w:rsidP="00923A4E" w:rsidRDefault="00923A4E" w14:paraId="39CF53F7" w14:textId="77777777">
      <w:pPr>
        <w:spacing w:line="360" w:lineRule="auto"/>
        <w:jc w:val="center"/>
        <w:rPr>
          <w:rFonts w:ascii="Times New Roman" w:hAnsi="Times New Roman" w:cs="Times New Roman"/>
          <w:b/>
          <w:bCs/>
        </w:rPr>
      </w:pPr>
    </w:p>
    <w:p w:rsidR="00923A4E" w:rsidP="00923A4E" w:rsidRDefault="00923A4E" w14:paraId="45DAB2AA" w14:textId="77777777">
      <w:pPr>
        <w:spacing w:line="360" w:lineRule="auto"/>
        <w:jc w:val="center"/>
        <w:rPr>
          <w:rFonts w:ascii="Times New Roman" w:hAnsi="Times New Roman" w:cs="Times New Roman"/>
          <w:b/>
          <w:bCs/>
        </w:rPr>
      </w:pPr>
    </w:p>
    <w:p w:rsidR="00923A4E" w:rsidP="00923A4E" w:rsidRDefault="00923A4E" w14:paraId="4672F1E1" w14:textId="77777777">
      <w:pPr>
        <w:spacing w:line="360" w:lineRule="auto"/>
        <w:jc w:val="center"/>
        <w:rPr>
          <w:rFonts w:ascii="Times New Roman" w:hAnsi="Times New Roman" w:cs="Times New Roman"/>
          <w:b/>
          <w:bCs/>
        </w:rPr>
      </w:pPr>
    </w:p>
    <w:p w:rsidR="00923A4E" w:rsidP="00923A4E" w:rsidRDefault="00923A4E" w14:paraId="6215CA89" w14:textId="77777777">
      <w:pPr>
        <w:spacing w:line="360" w:lineRule="auto"/>
        <w:jc w:val="center"/>
        <w:rPr>
          <w:rFonts w:ascii="Times New Roman" w:hAnsi="Times New Roman" w:cs="Times New Roman"/>
          <w:b/>
          <w:bCs/>
        </w:rPr>
      </w:pPr>
    </w:p>
    <w:p w:rsidR="00923A4E" w:rsidP="00923A4E" w:rsidRDefault="00923A4E" w14:paraId="3D9C9EAB" w14:textId="52AA8EE7">
      <w:pPr>
        <w:spacing w:line="360" w:lineRule="auto"/>
        <w:jc w:val="center"/>
        <w:rPr>
          <w:rFonts w:ascii="Times New Roman" w:hAnsi="Times New Roman" w:cs="Times New Roman"/>
          <w:b/>
          <w:bCs/>
        </w:rPr>
      </w:pPr>
      <w:r>
        <w:rPr>
          <w:rFonts w:ascii="Times New Roman" w:hAnsi="Times New Roman" w:cs="Times New Roman"/>
          <w:b/>
          <w:bCs/>
        </w:rPr>
        <w:t>Student’s Name</w:t>
      </w:r>
    </w:p>
    <w:p w:rsidR="00923A4E" w:rsidP="00923A4E" w:rsidRDefault="00923A4E" w14:paraId="4D97C8B7" w14:textId="27C0A260">
      <w:pPr>
        <w:spacing w:line="360" w:lineRule="auto"/>
        <w:jc w:val="center"/>
        <w:rPr>
          <w:rFonts w:ascii="Times New Roman" w:hAnsi="Times New Roman" w:cs="Times New Roman"/>
          <w:b/>
          <w:bCs/>
        </w:rPr>
      </w:pPr>
      <w:r>
        <w:rPr>
          <w:rFonts w:ascii="Times New Roman" w:hAnsi="Times New Roman" w:cs="Times New Roman"/>
          <w:b/>
          <w:bCs/>
        </w:rPr>
        <w:t>Department: University</w:t>
      </w:r>
    </w:p>
    <w:p w:rsidR="00923A4E" w:rsidP="00923A4E" w:rsidRDefault="00923A4E" w14:paraId="4708679B" w14:textId="1CD17DBD">
      <w:pPr>
        <w:spacing w:line="360" w:lineRule="auto"/>
        <w:jc w:val="center"/>
        <w:rPr>
          <w:rFonts w:ascii="Times New Roman" w:hAnsi="Times New Roman" w:cs="Times New Roman"/>
          <w:b/>
          <w:bCs/>
        </w:rPr>
      </w:pPr>
      <w:r>
        <w:rPr>
          <w:rFonts w:ascii="Times New Roman" w:hAnsi="Times New Roman" w:cs="Times New Roman"/>
          <w:b/>
          <w:bCs/>
        </w:rPr>
        <w:t>Course Name: Course Number</w:t>
      </w:r>
    </w:p>
    <w:p w:rsidR="002D6FA8" w:rsidP="002D6FA8" w:rsidRDefault="002D6FA8" w14:paraId="2541EE73" w14:textId="0F5D0DEC">
      <w:pPr>
        <w:spacing w:line="360" w:lineRule="auto"/>
        <w:jc w:val="center"/>
        <w:rPr>
          <w:rFonts w:ascii="Times New Roman" w:hAnsi="Times New Roman" w:cs="Times New Roman"/>
          <w:b/>
          <w:bCs/>
        </w:rPr>
      </w:pPr>
      <w:r>
        <w:rPr>
          <w:rFonts w:ascii="Times New Roman" w:hAnsi="Times New Roman" w:cs="Times New Roman"/>
          <w:b/>
          <w:bCs/>
        </w:rPr>
        <w:t>Instructor Nam</w:t>
      </w:r>
      <w:r>
        <w:rPr>
          <w:rFonts w:ascii="Times New Roman" w:hAnsi="Times New Roman" w:cs="Times New Roman"/>
          <w:b/>
          <w:bCs/>
        </w:rPr>
        <w:t>e</w:t>
      </w:r>
    </w:p>
    <w:p w:rsidR="00923A4E" w:rsidP="00923A4E" w:rsidRDefault="00923A4E" w14:paraId="1F3DB552" w14:textId="3E0E55A3">
      <w:pPr>
        <w:spacing w:line="360" w:lineRule="auto"/>
        <w:jc w:val="center"/>
        <w:rPr>
          <w:rFonts w:ascii="Times New Roman" w:hAnsi="Times New Roman" w:cs="Times New Roman"/>
          <w:b/>
          <w:bCs/>
        </w:rPr>
      </w:pPr>
      <w:r>
        <w:rPr>
          <w:rFonts w:ascii="Times New Roman" w:hAnsi="Times New Roman" w:cs="Times New Roman"/>
          <w:b/>
          <w:bCs/>
        </w:rPr>
        <w:t>Due Date</w:t>
      </w:r>
    </w:p>
    <w:p w:rsidR="005702A1" w:rsidP="00923A4E" w:rsidRDefault="005702A1" w14:paraId="0BC2913F" w14:textId="77777777">
      <w:pPr>
        <w:spacing w:line="360" w:lineRule="auto"/>
        <w:jc w:val="center"/>
        <w:rPr>
          <w:rFonts w:ascii="Times New Roman" w:hAnsi="Times New Roman" w:cs="Times New Roman"/>
          <w:b/>
          <w:bCs/>
        </w:rPr>
      </w:pPr>
    </w:p>
    <w:p w:rsidR="005702A1" w:rsidP="00923A4E" w:rsidRDefault="005702A1" w14:paraId="490448D7" w14:textId="77777777">
      <w:pPr>
        <w:spacing w:line="360" w:lineRule="auto"/>
        <w:jc w:val="center"/>
        <w:rPr>
          <w:rFonts w:ascii="Times New Roman" w:hAnsi="Times New Roman" w:cs="Times New Roman"/>
          <w:b/>
          <w:bCs/>
        </w:rPr>
      </w:pPr>
    </w:p>
    <w:p w:rsidR="005702A1" w:rsidP="00923A4E" w:rsidRDefault="005702A1" w14:paraId="600B110D" w14:textId="77777777">
      <w:pPr>
        <w:spacing w:line="360" w:lineRule="auto"/>
        <w:jc w:val="center"/>
        <w:rPr>
          <w:rFonts w:ascii="Times New Roman" w:hAnsi="Times New Roman" w:cs="Times New Roman"/>
          <w:b/>
          <w:bCs/>
        </w:rPr>
      </w:pPr>
    </w:p>
    <w:p w:rsidR="005702A1" w:rsidP="00923A4E" w:rsidRDefault="005702A1" w14:paraId="6718C330" w14:textId="77777777">
      <w:pPr>
        <w:spacing w:line="360" w:lineRule="auto"/>
        <w:jc w:val="center"/>
        <w:rPr>
          <w:rFonts w:ascii="Times New Roman" w:hAnsi="Times New Roman" w:cs="Times New Roman"/>
          <w:b/>
          <w:bCs/>
        </w:rPr>
      </w:pPr>
    </w:p>
    <w:p w:rsidR="005702A1" w:rsidP="005F7BAE" w:rsidRDefault="005702A1" w14:paraId="3B77B330" w14:textId="77777777">
      <w:pPr>
        <w:spacing w:line="360" w:lineRule="auto"/>
        <w:rPr>
          <w:rFonts w:ascii="Times New Roman" w:hAnsi="Times New Roman" w:cs="Times New Roman"/>
          <w:b/>
          <w:bCs/>
        </w:rPr>
      </w:pPr>
    </w:p>
    <w:p w:rsidR="005F7BAE" w:rsidP="005F7BAE" w:rsidRDefault="005F7BAE" w14:paraId="450D164B" w14:textId="77777777">
      <w:pPr>
        <w:spacing w:line="360" w:lineRule="auto"/>
        <w:rPr>
          <w:rFonts w:ascii="Times New Roman" w:hAnsi="Times New Roman" w:cs="Times New Roman"/>
          <w:b/>
          <w:bCs/>
        </w:rPr>
      </w:pPr>
    </w:p>
    <w:p w:rsidRPr="00707515" w:rsidR="005702A1" w:rsidP="00923A4E" w:rsidRDefault="005702A1" w14:paraId="06B41006" w14:textId="77777777">
      <w:pPr>
        <w:spacing w:line="360" w:lineRule="auto"/>
        <w:jc w:val="center"/>
        <w:rPr>
          <w:rFonts w:ascii="Times New Roman" w:hAnsi="Times New Roman" w:cs="Times New Roman"/>
          <w:b/>
          <w:bCs/>
        </w:rPr>
      </w:pPr>
    </w:p>
    <w:p w:rsidRPr="00707515" w:rsidR="00707515" w:rsidP="005702A1" w:rsidRDefault="00707515" w14:paraId="786212C7" w14:textId="77777777">
      <w:pPr>
        <w:spacing w:line="360" w:lineRule="auto"/>
        <w:jc w:val="center"/>
        <w:rPr>
          <w:rFonts w:ascii="Times New Roman" w:hAnsi="Times New Roman" w:cs="Times New Roman"/>
          <w:b/>
          <w:bCs/>
        </w:rPr>
      </w:pPr>
      <w:r w:rsidRPr="00707515">
        <w:rPr>
          <w:rFonts w:ascii="Times New Roman" w:hAnsi="Times New Roman" w:cs="Times New Roman"/>
          <w:b/>
          <w:bCs/>
        </w:rPr>
        <w:lastRenderedPageBreak/>
        <w:t>Introduction</w:t>
      </w:r>
    </w:p>
    <w:p w:rsidR="00825A84" w:rsidP="00490121" w:rsidRDefault="00825A84" w14:paraId="7EEA4C7A" w14:textId="4C1C4A08">
      <w:pPr>
        <w:spacing w:line="360" w:lineRule="auto"/>
        <w:ind w:firstLine="720"/>
        <w:rPr>
          <w:rFonts w:ascii="Times New Roman" w:hAnsi="Times New Roman" w:cs="Times New Roman"/>
        </w:rPr>
      </w:pPr>
      <w:r w:rsidRPr="00825A84">
        <w:rPr>
          <w:rFonts w:ascii="Times New Roman" w:hAnsi="Times New Roman" w:cs="Times New Roman"/>
        </w:rPr>
        <w:t xml:space="preserve">The </w:t>
      </w:r>
      <w:r w:rsidR="000E2A6E">
        <w:rPr>
          <w:rFonts w:ascii="Times New Roman" w:hAnsi="Times New Roman" w:cs="Times New Roman"/>
        </w:rPr>
        <w:t>drug</w:t>
      </w:r>
      <w:r w:rsidRPr="00825A84">
        <w:rPr>
          <w:rFonts w:ascii="Times New Roman" w:hAnsi="Times New Roman" w:cs="Times New Roman"/>
        </w:rPr>
        <w:t xml:space="preserve"> administration routes are basic facts of pharmacology affecting the key parameters as safety, abuse potential, bioavailability, and time profile of the drug action. In this paper, the researcher will compare and contrast the main routes, which comprise oral, sublingual, rectal, intravenous (IV), intramuscular (IM), subcutaneous (SC), intranasal, inhalational, and transdermal routes. Parenteral routes (IV) are associated with a complete and immediate bioavailability, which accelerates the onset but increases the risk of adverse events and misuse at the same time because of the </w:t>
      </w:r>
      <w:r w:rsidR="000E2A6E">
        <w:rPr>
          <w:rFonts w:ascii="Times New Roman" w:hAnsi="Times New Roman" w:cs="Times New Roman"/>
        </w:rPr>
        <w:t>precipitous</w:t>
      </w:r>
      <w:r w:rsidRPr="00825A84">
        <w:rPr>
          <w:rFonts w:ascii="Times New Roman" w:hAnsi="Times New Roman" w:cs="Times New Roman"/>
        </w:rPr>
        <w:t xml:space="preserve"> entry into the central nervous system (Baumann and Volkow, 2016). Contrarily, enteral administration includes oral administration, which focuses on patient safety and reduced abuse potential, but requires extended absorption and hepatic first-pass metabolism (Dhanasekaran &amp; Paul, 2020). It is argued in the thesis that optimal route selection depends on a fine consideration of all these factors, and, as a consequence, they will maximize the efficacy of therapy and reduce possible harms.</w:t>
      </w:r>
    </w:p>
    <w:p w:rsidRPr="00707515" w:rsidR="00707515" w:rsidP="00490121" w:rsidRDefault="00707515" w14:paraId="2EC28A48" w14:textId="0005F08F">
      <w:pPr>
        <w:spacing w:line="360" w:lineRule="auto"/>
        <w:jc w:val="center"/>
        <w:rPr>
          <w:rFonts w:ascii="Times New Roman" w:hAnsi="Times New Roman" w:cs="Times New Roman"/>
          <w:b/>
          <w:bCs/>
        </w:rPr>
      </w:pPr>
      <w:r w:rsidRPr="00707515">
        <w:rPr>
          <w:rFonts w:ascii="Times New Roman" w:hAnsi="Times New Roman" w:cs="Times New Roman"/>
          <w:b/>
          <w:bCs/>
        </w:rPr>
        <w:t>Enteral Routes</w:t>
      </w:r>
    </w:p>
    <w:p w:rsidRPr="002F6C60" w:rsidR="002F6C60" w:rsidP="00490121" w:rsidRDefault="002F6C60" w14:paraId="5E605517" w14:textId="77777777">
      <w:pPr>
        <w:spacing w:line="360" w:lineRule="auto"/>
        <w:ind w:firstLine="720"/>
        <w:rPr>
          <w:rFonts w:ascii="Times New Roman" w:hAnsi="Times New Roman" w:cs="Times New Roman"/>
        </w:rPr>
      </w:pPr>
      <w:r w:rsidRPr="002F6C60">
        <w:rPr>
          <w:rFonts w:ascii="Times New Roman" w:hAnsi="Times New Roman" w:cs="Times New Roman"/>
        </w:rPr>
        <w:t>Enteral routes entail GIT absorption, which provides accessibility at the expense of drugs being undergoing pre-systemic elimination, which diminishes bioavailability.</w:t>
      </w:r>
    </w:p>
    <w:p w:rsidRPr="002F6C60" w:rsidR="002F6C60" w:rsidP="002F6C60" w:rsidRDefault="002F6C60" w14:paraId="30AD3058" w14:textId="1C647C23">
      <w:pPr>
        <w:spacing w:line="360" w:lineRule="auto"/>
        <w:rPr>
          <w:rFonts w:ascii="Times New Roman" w:hAnsi="Times New Roman" w:cs="Times New Roman"/>
        </w:rPr>
      </w:pPr>
      <w:r w:rsidRPr="002F6C60">
        <w:rPr>
          <w:rFonts w:ascii="Times New Roman" w:hAnsi="Times New Roman" w:cs="Times New Roman"/>
        </w:rPr>
        <w:t>The most common modality is oral administration</w:t>
      </w:r>
      <w:r w:rsidR="00080481">
        <w:rPr>
          <w:rFonts w:ascii="Times New Roman" w:hAnsi="Times New Roman" w:cs="Times New Roman"/>
        </w:rPr>
        <w:t>,</w:t>
      </w:r>
      <w:r w:rsidRPr="002F6C60">
        <w:rPr>
          <w:rFonts w:ascii="Times New Roman" w:hAnsi="Times New Roman" w:cs="Times New Roman"/>
        </w:rPr>
        <w:t xml:space="preserve"> </w:t>
      </w:r>
      <w:r w:rsidR="00080481">
        <w:rPr>
          <w:rFonts w:ascii="Times New Roman" w:hAnsi="Times New Roman" w:cs="Times New Roman"/>
        </w:rPr>
        <w:t>which</w:t>
      </w:r>
      <w:r w:rsidRPr="002F6C60">
        <w:rPr>
          <w:rFonts w:ascii="Times New Roman" w:hAnsi="Times New Roman" w:cs="Times New Roman"/>
        </w:rPr>
        <w:t xml:space="preserve"> involves the consumption of tablets, capsules, or liquids, which makes it cost-effective and prone to self-administration (McEvoy, 2024). It is a very safe agent, with an insignificant level of invasiveness and low probability of infection</w:t>
      </w:r>
      <w:r w:rsidR="00080481">
        <w:rPr>
          <w:rFonts w:ascii="Times New Roman" w:hAnsi="Times New Roman" w:cs="Times New Roman"/>
        </w:rPr>
        <w:t>;</w:t>
      </w:r>
      <w:r w:rsidRPr="002F6C60">
        <w:rPr>
          <w:rFonts w:ascii="Times New Roman" w:hAnsi="Times New Roman" w:cs="Times New Roman"/>
        </w:rPr>
        <w:t xml:space="preserve"> however, gastrointestinal irritation or emesis can occur in vulnerable patients (Terry and McClain, 2021). Potential abuse is reduced since the delayed initiation of the euphoric state is avoided, which bypasses the reinforcement that is the key to dependence (Baumann and Volkow, 2016). The bioavailability is generally in the range of 20 to 90 owing to gastric acid, enzymatic activity, and liver metabolism</w:t>
      </w:r>
      <w:r w:rsidR="00080481">
        <w:rPr>
          <w:rFonts w:ascii="Times New Roman" w:hAnsi="Times New Roman" w:cs="Times New Roman"/>
        </w:rPr>
        <w:t>,</w:t>
      </w:r>
      <w:r w:rsidRPr="002F6C60">
        <w:rPr>
          <w:rFonts w:ascii="Times New Roman" w:hAnsi="Times New Roman" w:cs="Times New Roman"/>
        </w:rPr>
        <w:t xml:space="preserve"> which require changes in doses (Dhanasekaran and Paul, 2020). Time course shows a 30- to 60-minute latency to peak action, which is prolonged, and as such is effective in chronic regimens, such as nonsteroidal anti-inflammatory medications to manage pain, but not in acute intervention (McEvoy, 2024).</w:t>
      </w:r>
    </w:p>
    <w:p w:rsidRPr="002F6C60" w:rsidR="002F6C60" w:rsidP="00490121" w:rsidRDefault="002F6C60" w14:paraId="7F246367" w14:textId="77777777">
      <w:pPr>
        <w:spacing w:line="360" w:lineRule="auto"/>
        <w:ind w:firstLine="720"/>
        <w:rPr>
          <w:rFonts w:ascii="Times New Roman" w:hAnsi="Times New Roman" w:cs="Times New Roman"/>
        </w:rPr>
      </w:pPr>
      <w:r w:rsidRPr="002F6C60">
        <w:rPr>
          <w:rFonts w:ascii="Times New Roman" w:hAnsi="Times New Roman" w:cs="Times New Roman"/>
        </w:rPr>
        <w:t xml:space="preserve">Transmucosal absorption through sublingual and buccal administration by bypassing gastrointestinal and hepatic barriers occurs beneath the tongue or against the buccal mucosa </w:t>
      </w:r>
      <w:r w:rsidRPr="002F6C60">
        <w:rPr>
          <w:rFonts w:ascii="Times New Roman" w:hAnsi="Times New Roman" w:cs="Times New Roman"/>
        </w:rPr>
        <w:lastRenderedPageBreak/>
        <w:t>(Terry and McClain, 2021). These techniques are very safe, reversible through expectoration and have low procedural risks, however, dysgeusia can hinder compliance (Dhanasekaran and Paul, 2020). The oral routes increase the likelihood of abuse moderately in comparison to intravenous ones because they mediate the prompt effect of pharmacodynamics that induces pleasurable feelings (Baumann and Volkow, 2016). The development of improved bioavailability (70 to 90 percent) through avoidance of first-pass effects, onset in 3-5 minutes, and 1-2 hours, such as that of nitroglycerin in prophylaxis of angina (McEvoy, 2024). Limitations on dose and incompatibility with non-lipophilic agents are limitations.</w:t>
      </w:r>
    </w:p>
    <w:p w:rsidR="002F6C60" w:rsidP="00490121" w:rsidRDefault="002F6C60" w14:paraId="5DB65137" w14:textId="3F1AB156">
      <w:pPr>
        <w:spacing w:line="360" w:lineRule="auto"/>
        <w:ind w:firstLine="720"/>
        <w:rPr>
          <w:rFonts w:ascii="Times New Roman" w:hAnsi="Times New Roman" w:cs="Times New Roman"/>
        </w:rPr>
      </w:pPr>
      <w:r w:rsidRPr="002F6C60">
        <w:rPr>
          <w:rFonts w:ascii="Times New Roman" w:hAnsi="Times New Roman" w:cs="Times New Roman"/>
        </w:rPr>
        <w:t xml:space="preserve">Enteral, through suppositories or enemas, is also an enteral alternative during emesis or dysphagia; it is specifically used in pediatric or geriatric cohorts (Terry and McClain, 2021). The local proctitis or mucosal erosion </w:t>
      </w:r>
      <w:r w:rsidR="00080481">
        <w:rPr>
          <w:rFonts w:ascii="Times New Roman" w:hAnsi="Times New Roman" w:cs="Times New Roman"/>
        </w:rPr>
        <w:t>is</w:t>
      </w:r>
      <w:r w:rsidRPr="002F6C60">
        <w:rPr>
          <w:rFonts w:ascii="Times New Roman" w:hAnsi="Times New Roman" w:cs="Times New Roman"/>
        </w:rPr>
        <w:t xml:space="preserve"> also of concern in compromised patients, which otherwise has a generally good safety score (Dhanasekaran &amp; Paul, 2020). It has a low abuse potential because of its procedural discomfort and nonexistence of immediacy</w:t>
      </w:r>
      <w:r w:rsidR="00080481">
        <w:rPr>
          <w:rFonts w:ascii="Times New Roman" w:hAnsi="Times New Roman" w:cs="Times New Roman"/>
        </w:rPr>
        <w:t>,</w:t>
      </w:r>
      <w:r w:rsidRPr="002F6C60">
        <w:rPr>
          <w:rFonts w:ascii="Times New Roman" w:hAnsi="Times New Roman" w:cs="Times New Roman"/>
        </w:rPr>
        <w:t xml:space="preserve"> which discourages non-therapeutic abuse (Baumann and Volkow, 2016). The bioavailability ranges between 50 and 100</w:t>
      </w:r>
      <w:r w:rsidR="00080481">
        <w:rPr>
          <w:rFonts w:ascii="Times New Roman" w:hAnsi="Times New Roman" w:cs="Times New Roman"/>
        </w:rPr>
        <w:t>,</w:t>
      </w:r>
      <w:r w:rsidRPr="002F6C60">
        <w:rPr>
          <w:rFonts w:ascii="Times New Roman" w:hAnsi="Times New Roman" w:cs="Times New Roman"/>
        </w:rPr>
        <w:t xml:space="preserve"> with a morphing of partial venous </w:t>
      </w:r>
      <w:proofErr w:type="spellStart"/>
      <w:r w:rsidRPr="002F6C60">
        <w:rPr>
          <w:rFonts w:ascii="Times New Roman" w:hAnsi="Times New Roman" w:cs="Times New Roman"/>
        </w:rPr>
        <w:t>empting</w:t>
      </w:r>
      <w:proofErr w:type="spellEnd"/>
      <w:r w:rsidRPr="002F6C60">
        <w:rPr>
          <w:rFonts w:ascii="Times New Roman" w:hAnsi="Times New Roman" w:cs="Times New Roman"/>
        </w:rPr>
        <w:t xml:space="preserve"> into systemic circulation resulting in </w:t>
      </w:r>
      <w:r w:rsidR="00697290">
        <w:rPr>
          <w:rFonts w:ascii="Times New Roman" w:hAnsi="Times New Roman" w:cs="Times New Roman"/>
        </w:rPr>
        <w:t xml:space="preserve">a </w:t>
      </w:r>
      <w:r w:rsidRPr="002F6C60">
        <w:rPr>
          <w:rFonts w:ascii="Times New Roman" w:hAnsi="Times New Roman" w:cs="Times New Roman"/>
        </w:rPr>
        <w:t xml:space="preserve">15-30 </w:t>
      </w:r>
      <w:r w:rsidR="00080481">
        <w:rPr>
          <w:rFonts w:ascii="Times New Roman" w:hAnsi="Times New Roman" w:cs="Times New Roman"/>
        </w:rPr>
        <w:t>minute</w:t>
      </w:r>
      <w:r w:rsidRPr="002F6C60">
        <w:rPr>
          <w:rFonts w:ascii="Times New Roman" w:hAnsi="Times New Roman" w:cs="Times New Roman"/>
        </w:rPr>
        <w:t xml:space="preserve"> onset independent of gastric motility (McEvoy, 2024). The route is beneficial to antipyretics in children</w:t>
      </w:r>
      <w:r w:rsidR="00080481">
        <w:rPr>
          <w:rFonts w:ascii="Times New Roman" w:hAnsi="Times New Roman" w:cs="Times New Roman"/>
        </w:rPr>
        <w:t>,</w:t>
      </w:r>
      <w:r w:rsidRPr="002F6C60">
        <w:rPr>
          <w:rFonts w:ascii="Times New Roman" w:hAnsi="Times New Roman" w:cs="Times New Roman"/>
        </w:rPr>
        <w:t xml:space="preserve"> but the lack of uniformity in the absorption limits the wider use.</w:t>
      </w:r>
    </w:p>
    <w:p w:rsidRPr="00707515" w:rsidR="00707515" w:rsidP="00490121" w:rsidRDefault="00707515" w14:paraId="2F886832" w14:textId="763B5845">
      <w:pPr>
        <w:spacing w:line="360" w:lineRule="auto"/>
        <w:jc w:val="center"/>
        <w:rPr>
          <w:rFonts w:ascii="Times New Roman" w:hAnsi="Times New Roman" w:cs="Times New Roman"/>
          <w:b/>
          <w:bCs/>
        </w:rPr>
      </w:pPr>
      <w:r w:rsidRPr="41F8FCFD" w:rsidR="1A6F4EDA">
        <w:rPr>
          <w:rFonts w:ascii="Times New Roman" w:hAnsi="Times New Roman" w:cs="Times New Roman"/>
          <w:b w:val="1"/>
          <w:bCs w:val="1"/>
        </w:rPr>
        <w:t>Parenteral Routes</w:t>
      </w:r>
    </w:p>
    <w:p w:rsidRPr="00157B66" w:rsidR="00157B66" w:rsidP="41F8FCFD" w:rsidRDefault="00157B66" w14:paraId="3A83B817" w14:noSpellErr="1" w14:textId="5AF199DD">
      <w:pPr>
        <w:spacing w:line="360" w:lineRule="auto"/>
        <w:ind w:firstLine="720"/>
        <w:rPr>
          <w:rFonts w:ascii="Times New Roman" w:hAnsi="Times New Roman" w:cs="Times New Roman"/>
        </w:rPr>
      </w:pPr>
      <w:r w:rsidRPr="41F8FCFD" w:rsidR="5960823D">
        <w:rPr>
          <w:rFonts w:ascii="Times New Roman" w:hAnsi="Times New Roman" w:cs="Times New Roman"/>
        </w:rPr>
        <w:t xml:space="preserve">The methods of parenteral bypass the enteric absorption, which is an excellent way of ensuring good bioavailability at a price of technical complexity and higher risk ads. </w:t>
      </w:r>
      <w:r w:rsidRPr="41F8FCFD" w:rsidR="71D6EF08">
        <w:rPr>
          <w:rFonts w:ascii="Times New Roman" w:hAnsi="Times New Roman" w:cs="Times New Roman"/>
        </w:rPr>
        <w:t xml:space="preserve">When administered intravenously, the solutes are delivered directly into the venous circulation, which is costly but provides such precision to the hemodynamically unstable patients (McEvoy, 2024). Examples of the risks that jeopardize safety are bacteremia, thrombophlebitis, and unintentional extravasation, which require aseptic practices and close monitoring (Terry &amp; McClain, 2021). It carries the highest possible degree of abuse where immediate response leads to extensive reinforcement as in the case of opioid epidemics (Baumann and Volkow, 2016). Complete bioavailability (100%) </w:t>
      </w:r>
      <w:r w:rsidRPr="41F8FCFD" w:rsidR="71D6EF08">
        <w:rPr>
          <w:rFonts w:ascii="Times New Roman" w:hAnsi="Times New Roman" w:cs="Times New Roman"/>
        </w:rPr>
        <w:t>represents</w:t>
      </w:r>
      <w:r w:rsidRPr="41F8FCFD" w:rsidR="71D6EF08">
        <w:rPr>
          <w:rFonts w:ascii="Times New Roman" w:hAnsi="Times New Roman" w:cs="Times New Roman"/>
        </w:rPr>
        <w:t xml:space="preserve"> an unaltered exposure, effects start in seconds, and the brevity requires infusions, such as in perioperative antibiotics (Dhanasekaran and Paul, 2020).</w:t>
      </w:r>
    </w:p>
    <w:p w:rsidRPr="00157B66" w:rsidR="00157B66" w:rsidP="00490121" w:rsidRDefault="00157B66" w14:paraId="6A3A17E7" w14:textId="77777777">
      <w:pPr>
        <w:spacing w:line="360" w:lineRule="auto"/>
        <w:ind w:firstLine="720"/>
        <w:rPr>
          <w:rFonts w:ascii="Times New Roman" w:hAnsi="Times New Roman" w:cs="Times New Roman"/>
        </w:rPr>
      </w:pPr>
      <w:r w:rsidRPr="00157B66">
        <w:rPr>
          <w:rFonts w:ascii="Times New Roman" w:hAnsi="Times New Roman" w:cs="Times New Roman"/>
        </w:rPr>
        <w:lastRenderedPageBreak/>
        <w:t xml:space="preserve">Formulations are deposited into muscular </w:t>
      </w:r>
      <w:proofErr w:type="spellStart"/>
      <w:r w:rsidRPr="00157B66">
        <w:rPr>
          <w:rFonts w:ascii="Times New Roman" w:hAnsi="Times New Roman" w:cs="Times New Roman"/>
        </w:rPr>
        <w:t>interstitium</w:t>
      </w:r>
      <w:proofErr w:type="spellEnd"/>
      <w:r w:rsidRPr="00157B66">
        <w:rPr>
          <w:rFonts w:ascii="Times New Roman" w:hAnsi="Times New Roman" w:cs="Times New Roman"/>
        </w:rPr>
        <w:t xml:space="preserve"> by intramuscular administration, which uses vascularity to achieve rapid delivery (Terry and McClain, 2021). It is moderately safe, causing transient nociception or hematoma, and has uncommon neurovascular sequelae in case it is done in accordance with anatomic landmarks (McEvoy, 2024). The propensity to abuse competes with IV, but it is mitigated slightly by the discomfort of injections (Baumann and Volkow, 2016). Aqueous solutions are almost entirely bioavailable (100%), and their onset and depot time of sustained pharmacodynamics are 10-30 minutes, as in the case of influenza vaccines (Dhanasekaran and Paul, 2020). Kinetics is regulated by vascular perfusion that varies in circulatory derangements.</w:t>
      </w:r>
    </w:p>
    <w:p w:rsidR="00157B66" w:rsidP="00490121" w:rsidRDefault="00157B66" w14:paraId="02774946" w14:textId="51B3F90B">
      <w:pPr>
        <w:spacing w:line="360" w:lineRule="auto"/>
        <w:ind w:firstLine="720"/>
        <w:rPr>
          <w:rFonts w:ascii="Times New Roman" w:hAnsi="Times New Roman" w:cs="Times New Roman"/>
        </w:rPr>
      </w:pPr>
      <w:r w:rsidRPr="00157B66">
        <w:rPr>
          <w:rFonts w:ascii="Times New Roman" w:hAnsi="Times New Roman" w:cs="Times New Roman"/>
        </w:rPr>
        <w:t xml:space="preserve">Subcutaneous injection is infused into the hypodermal layers, which is self-sustaining when it comes to ambulatory therapy (McEvoy, 2024). It is safe and rarely has an infection on site even when it is rotated, despite chronicity-related lipodystrophy (Terry and McClain, 2021). The potential to abuse is suppressed, with progressive percolation reducing psychoactive highs (Baumann and Volkow, 2016). Reduced in size moieties reach 70 to 100% bioavailability, with an initiation of 15 to 30 minutes and </w:t>
      </w:r>
      <w:proofErr w:type="spellStart"/>
      <w:r w:rsidRPr="00157B66">
        <w:rPr>
          <w:rFonts w:ascii="Times New Roman" w:hAnsi="Times New Roman" w:cs="Times New Roman"/>
        </w:rPr>
        <w:t>semistatic</w:t>
      </w:r>
      <w:proofErr w:type="spellEnd"/>
      <w:r w:rsidRPr="00157B66">
        <w:rPr>
          <w:rFonts w:ascii="Times New Roman" w:hAnsi="Times New Roman" w:cs="Times New Roman"/>
        </w:rPr>
        <w:t xml:space="preserve"> profiles, such as insulin to achieve glycemic control (Dhanasekaran and Paul, 2020). As in hypovolemia, hypoperfusion slows down uptake.</w:t>
      </w:r>
    </w:p>
    <w:p w:rsidRPr="00707515" w:rsidR="00707515" w:rsidP="00490121" w:rsidRDefault="00707515" w14:paraId="1D953F38" w14:textId="385A7CEC">
      <w:pPr>
        <w:spacing w:line="360" w:lineRule="auto"/>
        <w:jc w:val="center"/>
        <w:rPr>
          <w:rFonts w:ascii="Times New Roman" w:hAnsi="Times New Roman" w:cs="Times New Roman"/>
          <w:b/>
          <w:bCs/>
        </w:rPr>
      </w:pPr>
      <w:r w:rsidRPr="00707515">
        <w:rPr>
          <w:rFonts w:ascii="Times New Roman" w:hAnsi="Times New Roman" w:cs="Times New Roman"/>
          <w:b/>
          <w:bCs/>
        </w:rPr>
        <w:t>Other Routes</w:t>
      </w:r>
    </w:p>
    <w:p w:rsidRPr="00C1277A" w:rsidR="00C1277A" w:rsidP="41F8FCFD" w:rsidRDefault="00C1277A" w14:paraId="34CF1836" w14:noSpellErr="1" w14:textId="6428B3FC">
      <w:pPr>
        <w:spacing w:line="360" w:lineRule="auto"/>
        <w:ind w:firstLine="720"/>
        <w:rPr>
          <w:rFonts w:ascii="Times New Roman" w:hAnsi="Times New Roman" w:cs="Times New Roman"/>
        </w:rPr>
      </w:pPr>
      <w:r w:rsidRPr="41F8FCFD" w:rsidR="29112118">
        <w:rPr>
          <w:rFonts w:ascii="Times New Roman" w:hAnsi="Times New Roman" w:cs="Times New Roman"/>
        </w:rPr>
        <w:t>Alternative pathways take advantage of customized pharmacotherapy using special interfaces.</w:t>
      </w:r>
      <w:r w:rsidRPr="41F8FCFD" w:rsidR="7B00F5A2">
        <w:rPr>
          <w:rFonts w:ascii="Times New Roman" w:hAnsi="Times New Roman" w:cs="Times New Roman"/>
        </w:rPr>
        <w:t xml:space="preserve"> </w:t>
      </w:r>
      <w:r w:rsidRPr="41F8FCFD" w:rsidR="29112118">
        <w:rPr>
          <w:rFonts w:ascii="Times New Roman" w:hAnsi="Times New Roman" w:cs="Times New Roman"/>
        </w:rPr>
        <w:t xml:space="preserve">Olfaction uses intranasal delivery to </w:t>
      </w:r>
      <w:r w:rsidRPr="41F8FCFD" w:rsidR="7EF30EA3">
        <w:rPr>
          <w:rFonts w:ascii="Times New Roman" w:hAnsi="Times New Roman" w:cs="Times New Roman"/>
        </w:rPr>
        <w:t>aerosolize</w:t>
      </w:r>
      <w:r w:rsidRPr="41F8FCFD" w:rsidR="29112118">
        <w:rPr>
          <w:rFonts w:ascii="Times New Roman" w:hAnsi="Times New Roman" w:cs="Times New Roman"/>
        </w:rPr>
        <w:t xml:space="preserve"> or spray powered drug delivery, which </w:t>
      </w:r>
      <w:r w:rsidRPr="41F8FCFD" w:rsidR="29112118">
        <w:rPr>
          <w:rFonts w:ascii="Times New Roman" w:hAnsi="Times New Roman" w:cs="Times New Roman"/>
        </w:rPr>
        <w:t>eliminates</w:t>
      </w:r>
      <w:r w:rsidRPr="41F8FCFD" w:rsidR="29112118">
        <w:rPr>
          <w:rFonts w:ascii="Times New Roman" w:hAnsi="Times New Roman" w:cs="Times New Roman"/>
        </w:rPr>
        <w:t xml:space="preserve"> venipuncture (Terry and McClain, 2021). In moderate safety, there is rhinitis or hemorrhage, which is </w:t>
      </w:r>
      <w:r w:rsidRPr="41F8FCFD" w:rsidR="29112118">
        <w:rPr>
          <w:rFonts w:ascii="Times New Roman" w:hAnsi="Times New Roman" w:cs="Times New Roman"/>
        </w:rPr>
        <w:t>exacerbated</w:t>
      </w:r>
      <w:r w:rsidRPr="41F8FCFD" w:rsidR="29112118">
        <w:rPr>
          <w:rFonts w:ascii="Times New Roman" w:hAnsi="Times New Roman" w:cs="Times New Roman"/>
        </w:rPr>
        <w:t xml:space="preserve"> by atrophic conditions (McEvoy, 2024). </w:t>
      </w:r>
      <w:r w:rsidRPr="41F8FCFD" w:rsidR="7EF30EA3">
        <w:rPr>
          <w:rFonts w:ascii="Times New Roman" w:hAnsi="Times New Roman" w:cs="Times New Roman"/>
        </w:rPr>
        <w:t>High levels</w:t>
      </w:r>
      <w:r w:rsidRPr="41F8FCFD" w:rsidR="29112118">
        <w:rPr>
          <w:rFonts w:ascii="Times New Roman" w:hAnsi="Times New Roman" w:cs="Times New Roman"/>
        </w:rPr>
        <w:t xml:space="preserve"> of abuse liability are a result of rapid cerebral penetration, which makes it easy to surreptitiously overuse (Baumann and Volkow, 2016). It has a bioavailability of 60 to 100 percent, and an onset of 5- to </w:t>
      </w:r>
      <w:r w:rsidRPr="41F8FCFD" w:rsidR="7EF30EA3">
        <w:rPr>
          <w:rFonts w:ascii="Times New Roman" w:hAnsi="Times New Roman" w:cs="Times New Roman"/>
        </w:rPr>
        <w:t>15-</w:t>
      </w:r>
      <w:r w:rsidRPr="41F8FCFD" w:rsidR="7EF30EA3">
        <w:rPr>
          <w:rFonts w:ascii="Times New Roman" w:hAnsi="Times New Roman" w:cs="Times New Roman"/>
        </w:rPr>
        <w:t>minute</w:t>
      </w:r>
      <w:r w:rsidRPr="41F8FCFD" w:rsidR="29112118">
        <w:rPr>
          <w:rFonts w:ascii="Times New Roman" w:hAnsi="Times New Roman" w:cs="Times New Roman"/>
        </w:rPr>
        <w:t>, and</w:t>
      </w:r>
      <w:r w:rsidRPr="41F8FCFD" w:rsidR="29112118">
        <w:rPr>
          <w:rFonts w:ascii="Times New Roman" w:hAnsi="Times New Roman" w:cs="Times New Roman"/>
        </w:rPr>
        <w:t xml:space="preserve"> acts on triptans in cephalalgia (Dhanasekaran and Paul, 2020).</w:t>
      </w:r>
    </w:p>
    <w:p w:rsidRPr="00C1277A" w:rsidR="00C1277A" w:rsidP="00490121" w:rsidRDefault="00C1277A" w14:paraId="07E0942E" w14:textId="1B5A920F">
      <w:pPr>
        <w:spacing w:line="360" w:lineRule="auto"/>
        <w:ind w:firstLine="720"/>
        <w:rPr>
          <w:rFonts w:ascii="Times New Roman" w:hAnsi="Times New Roman" w:cs="Times New Roman"/>
        </w:rPr>
      </w:pPr>
      <w:r w:rsidRPr="00C1277A">
        <w:rPr>
          <w:rFonts w:ascii="Times New Roman" w:hAnsi="Times New Roman" w:cs="Times New Roman"/>
        </w:rPr>
        <w:t xml:space="preserve">Through inhalation, particulates are forced into the pulmonary alveoli to maximize bronchopulmonary pathologies (McEvoy, 2024). The safety implies risks of laryngospasm or candidiasis, which </w:t>
      </w:r>
      <w:r w:rsidR="00697290">
        <w:rPr>
          <w:rFonts w:ascii="Times New Roman" w:hAnsi="Times New Roman" w:cs="Times New Roman"/>
        </w:rPr>
        <w:t>depend</w:t>
      </w:r>
      <w:r w:rsidRPr="00C1277A">
        <w:rPr>
          <w:rFonts w:ascii="Times New Roman" w:hAnsi="Times New Roman" w:cs="Times New Roman"/>
        </w:rPr>
        <w:t xml:space="preserve"> on inhaler technique (Terry and McClain, 2021). Volatile anesthetics have high potential to be abused due to their alacrity (Baumann &amp; Volkow, 2016). Pulmonary </w:t>
      </w:r>
      <w:r w:rsidRPr="00C1277A">
        <w:rPr>
          <w:rFonts w:ascii="Times New Roman" w:hAnsi="Times New Roman" w:cs="Times New Roman"/>
        </w:rPr>
        <w:lastRenderedPageBreak/>
        <w:t>bioavailability swings (10% to 40%), but the activation occurs in 2 to 3 minutes, which is critical to beta-agonists in bronchospasm (Dhanasekaran &amp; Paul, 2020).</w:t>
      </w:r>
    </w:p>
    <w:p w:rsidR="00C1277A" w:rsidP="00490121" w:rsidRDefault="00C1277A" w14:paraId="12667BAC" w14:textId="4C385852">
      <w:pPr>
        <w:spacing w:line="360" w:lineRule="auto"/>
        <w:ind w:firstLine="720"/>
        <w:rPr>
          <w:rFonts w:ascii="Times New Roman" w:hAnsi="Times New Roman" w:cs="Times New Roman"/>
        </w:rPr>
      </w:pPr>
      <w:r w:rsidRPr="00C1277A">
        <w:rPr>
          <w:rFonts w:ascii="Times New Roman" w:hAnsi="Times New Roman" w:cs="Times New Roman"/>
        </w:rPr>
        <w:t xml:space="preserve">Transdermal delivery enters </w:t>
      </w:r>
      <w:r w:rsidR="00697290">
        <w:rPr>
          <w:rFonts w:ascii="Times New Roman" w:hAnsi="Times New Roman" w:cs="Times New Roman"/>
        </w:rPr>
        <w:t xml:space="preserve">the </w:t>
      </w:r>
      <w:r w:rsidRPr="00C1277A">
        <w:rPr>
          <w:rFonts w:ascii="Times New Roman" w:hAnsi="Times New Roman" w:cs="Times New Roman"/>
        </w:rPr>
        <w:t xml:space="preserve">stratum corneum by matrices or iontophoresis, creating the effect of depot constancy (Terry &amp; McClain, 2021). As an example of safety, it avoids needles, but diversion avoidance is achieved by an overt design (Baumann and Volkow, 2016). Stable bioavailability avoids </w:t>
      </w:r>
      <w:proofErr w:type="spellStart"/>
      <w:r w:rsidRPr="00C1277A">
        <w:rPr>
          <w:rFonts w:ascii="Times New Roman" w:hAnsi="Times New Roman" w:cs="Times New Roman"/>
        </w:rPr>
        <w:t>presystemic</w:t>
      </w:r>
      <w:proofErr w:type="spellEnd"/>
      <w:r w:rsidRPr="00C1277A">
        <w:rPr>
          <w:rFonts w:ascii="Times New Roman" w:hAnsi="Times New Roman" w:cs="Times New Roman"/>
        </w:rPr>
        <w:t xml:space="preserve"> degradation, and delayed kinetics (30 minutes to hours) and prolonged half-life, such as transdermal nicotine as a cessation agent (McEvoy, 2024; Dhanasekaran and Paul, 2020). The utility is limited by dermatitis or impermeability.</w:t>
      </w:r>
    </w:p>
    <w:p w:rsidRPr="00707515" w:rsidR="00707515" w:rsidP="00490121" w:rsidRDefault="00707515" w14:paraId="52B56742" w14:textId="78954AE0">
      <w:pPr>
        <w:spacing w:line="360" w:lineRule="auto"/>
        <w:jc w:val="center"/>
        <w:rPr>
          <w:rFonts w:ascii="Times New Roman" w:hAnsi="Times New Roman" w:cs="Times New Roman"/>
          <w:b/>
          <w:bCs/>
        </w:rPr>
      </w:pPr>
      <w:r w:rsidRPr="00707515">
        <w:rPr>
          <w:rFonts w:ascii="Times New Roman" w:hAnsi="Times New Roman" w:cs="Times New Roman"/>
          <w:b/>
          <w:bCs/>
        </w:rPr>
        <w:t>Comparison</w:t>
      </w:r>
    </w:p>
    <w:p w:rsidR="004917C3" w:rsidP="00490121" w:rsidRDefault="004917C3" w14:paraId="5FB974B0" w14:noSpellErr="1" w14:textId="4F9F9E5C">
      <w:pPr>
        <w:spacing w:line="360" w:lineRule="auto"/>
        <w:ind w:firstLine="720"/>
        <w:rPr>
          <w:rFonts w:ascii="Times New Roman" w:hAnsi="Times New Roman" w:cs="Times New Roman"/>
        </w:rPr>
      </w:pPr>
      <w:r w:rsidRPr="41F8FCFD" w:rsidR="62CB15A1">
        <w:rPr>
          <w:rFonts w:ascii="Times New Roman" w:hAnsi="Times New Roman" w:cs="Times New Roman"/>
        </w:rPr>
        <w:t xml:space="preserve">The parenteral modalities, especially IV and IM, are superior to enteral modalities in bioavailability (close to 100%), speed (from seconds to 30 minutes), which </w:t>
      </w:r>
      <w:r w:rsidRPr="41F8FCFD" w:rsidR="7EF30EA3">
        <w:rPr>
          <w:rFonts w:ascii="Times New Roman" w:hAnsi="Times New Roman" w:cs="Times New Roman"/>
        </w:rPr>
        <w:t>makes</w:t>
      </w:r>
      <w:r w:rsidRPr="41F8FCFD" w:rsidR="62CB15A1">
        <w:rPr>
          <w:rFonts w:ascii="Times New Roman" w:hAnsi="Times New Roman" w:cs="Times New Roman"/>
        </w:rPr>
        <w:t xml:space="preserve"> them essential in exigencies, but increase safety liabilities through procedural exigencies and abuse through dopaminergic surges (Baumann and Volkow, 2016; Dhanasekaran and Paul, 2020). Oral intake, in its turn, provides an ideal safety and insignificant abuse with a bioavailability of 20 to 90 percent and latencies of 30-60 minutes, which is compatible with ambulatory prophylaxis (McEvoy, 2024).</w:t>
      </w:r>
      <w:r w:rsidRPr="41F8FCFD" w:rsidR="4C83EF13">
        <w:rPr>
          <w:rFonts w:ascii="Times New Roman" w:hAnsi="Times New Roman" w:cs="Times New Roman"/>
        </w:rPr>
        <w:t xml:space="preserve"> The 70-100% bioavailability and 3-15min onset sublingual and intranasal paradigm is moderate risk-speed (Terry and McClain, 2021).</w:t>
      </w:r>
      <w:r w:rsidRPr="41F8FCFD" w:rsidR="62CB15A1">
        <w:rPr>
          <w:rFonts w:ascii="Times New Roman" w:hAnsi="Times New Roman" w:cs="Times New Roman"/>
        </w:rPr>
        <w:t xml:space="preserve"> The rectal and SC routes provide 50% to 100% absorption in 15 to 30 minutes with tempered safety and abuse, and inhalational provides variability in depositional (10 to 40) instead of alacrity (2 to 3 minutes) (Baumann and Volkow, 2016). Transdermal brings in chronicity in the uncompromising low-risk delivery, though late. Therefore, route dichotomies highlight exigency and sustainability in the pharmacotherapeutic paradigms.</w:t>
      </w:r>
    </w:p>
    <w:p w:rsidRPr="00707515" w:rsidR="00707515" w:rsidP="00490121" w:rsidRDefault="00707515" w14:paraId="0C8D8238" w14:textId="7E961BE7">
      <w:pPr>
        <w:spacing w:line="360" w:lineRule="auto"/>
        <w:jc w:val="center"/>
        <w:rPr>
          <w:rFonts w:ascii="Times New Roman" w:hAnsi="Times New Roman" w:cs="Times New Roman"/>
          <w:b/>
          <w:bCs/>
        </w:rPr>
      </w:pPr>
      <w:r w:rsidRPr="00707515">
        <w:rPr>
          <w:rFonts w:ascii="Times New Roman" w:hAnsi="Times New Roman" w:cs="Times New Roman"/>
          <w:b/>
          <w:bCs/>
        </w:rPr>
        <w:t>Conclusion</w:t>
      </w:r>
    </w:p>
    <w:p w:rsidRPr="00707515" w:rsidR="00707515" w:rsidP="00490121" w:rsidRDefault="008A60AD" w14:paraId="2BC942FC" w14:textId="6D536460">
      <w:pPr>
        <w:spacing w:line="360" w:lineRule="auto"/>
        <w:ind w:firstLine="720"/>
        <w:rPr>
          <w:rFonts w:ascii="Times New Roman" w:hAnsi="Times New Roman" w:cs="Times New Roman"/>
        </w:rPr>
      </w:pPr>
      <w:r w:rsidRPr="008A60AD">
        <w:rPr>
          <w:rFonts w:ascii="Times New Roman" w:hAnsi="Times New Roman" w:cs="Times New Roman"/>
        </w:rPr>
        <w:t xml:space="preserve">The comparison of the drug routes through administration sheds light on the inherent dichotomies: parenteral route maximizes bioavailability and alacrity of acute paradigms, but generates disproportional safety and abuse burdens, whereas enteral and transdermal routes maximize tolerability of long-term stewardship, despite pharmacokinetic </w:t>
      </w:r>
      <w:r w:rsidR="00697290">
        <w:rPr>
          <w:rFonts w:ascii="Times New Roman" w:hAnsi="Times New Roman" w:cs="Times New Roman"/>
        </w:rPr>
        <w:t>trade-offs</w:t>
      </w:r>
      <w:r w:rsidRPr="008A60AD">
        <w:rPr>
          <w:rFonts w:ascii="Times New Roman" w:hAnsi="Times New Roman" w:cs="Times New Roman"/>
        </w:rPr>
        <w:t xml:space="preserve"> (Dhanasekaran and Paul, 2020; Baumann and Volkow, 2016). By being sensitive to these forces, </w:t>
      </w:r>
      <w:r w:rsidRPr="008A60AD">
        <w:rPr>
          <w:rFonts w:ascii="Times New Roman" w:hAnsi="Times New Roman" w:cs="Times New Roman"/>
        </w:rPr>
        <w:lastRenderedPageBreak/>
        <w:t>clinicians may tune the selections to patient needs, thus reducing the iatrogenic hazards and enhancing the salience</w:t>
      </w:r>
      <w:r w:rsidRPr="00707515" w:rsidR="00707515">
        <w:rPr>
          <w:rFonts w:ascii="Times New Roman" w:hAnsi="Times New Roman" w:cs="Times New Roman"/>
        </w:rPr>
        <w:t>.</w:t>
      </w:r>
    </w:p>
    <w:p w:rsidR="00277EAB" w:rsidP="00707515" w:rsidRDefault="00277EAB" w14:paraId="090B91D7" w14:textId="77777777">
      <w:pPr>
        <w:spacing w:line="360" w:lineRule="auto"/>
        <w:rPr>
          <w:rFonts w:ascii="Times New Roman" w:hAnsi="Times New Roman" w:cs="Times New Roman"/>
          <w:b/>
          <w:bCs/>
        </w:rPr>
      </w:pPr>
    </w:p>
    <w:p w:rsidR="00FB5742" w:rsidP="00277EAB" w:rsidRDefault="00FB5742" w14:paraId="64DC87BC" w14:textId="77777777">
      <w:pPr>
        <w:spacing w:line="360" w:lineRule="auto"/>
        <w:jc w:val="center"/>
        <w:rPr>
          <w:rFonts w:ascii="Times New Roman" w:hAnsi="Times New Roman" w:cs="Times New Roman"/>
          <w:b/>
          <w:bCs/>
        </w:rPr>
      </w:pPr>
    </w:p>
    <w:p w:rsidR="00FB5742" w:rsidP="00277EAB" w:rsidRDefault="00FB5742" w14:paraId="49DF1B30" w14:textId="77777777">
      <w:pPr>
        <w:spacing w:line="360" w:lineRule="auto"/>
        <w:jc w:val="center"/>
        <w:rPr>
          <w:rFonts w:ascii="Times New Roman" w:hAnsi="Times New Roman" w:cs="Times New Roman"/>
          <w:b/>
          <w:bCs/>
        </w:rPr>
      </w:pPr>
    </w:p>
    <w:p w:rsidR="00FB5742" w:rsidP="00277EAB" w:rsidRDefault="00FB5742" w14:paraId="480E1C9A" w14:textId="77777777">
      <w:pPr>
        <w:spacing w:line="360" w:lineRule="auto"/>
        <w:jc w:val="center"/>
        <w:rPr>
          <w:rFonts w:ascii="Times New Roman" w:hAnsi="Times New Roman" w:cs="Times New Roman"/>
          <w:b/>
          <w:bCs/>
        </w:rPr>
      </w:pPr>
    </w:p>
    <w:p w:rsidR="00FB5742" w:rsidP="00277EAB" w:rsidRDefault="00FB5742" w14:paraId="2DF24805" w14:textId="77777777">
      <w:pPr>
        <w:spacing w:line="360" w:lineRule="auto"/>
        <w:jc w:val="center"/>
        <w:rPr>
          <w:rFonts w:ascii="Times New Roman" w:hAnsi="Times New Roman" w:cs="Times New Roman"/>
          <w:b/>
          <w:bCs/>
        </w:rPr>
      </w:pPr>
    </w:p>
    <w:p w:rsidR="00FB5742" w:rsidP="00277EAB" w:rsidRDefault="00FB5742" w14:paraId="1DBC20E1" w14:textId="77777777">
      <w:pPr>
        <w:spacing w:line="360" w:lineRule="auto"/>
        <w:jc w:val="center"/>
        <w:rPr>
          <w:rFonts w:ascii="Times New Roman" w:hAnsi="Times New Roman" w:cs="Times New Roman"/>
          <w:b/>
          <w:bCs/>
        </w:rPr>
      </w:pPr>
    </w:p>
    <w:p w:rsidR="00FB5742" w:rsidP="00277EAB" w:rsidRDefault="00FB5742" w14:paraId="7CCCBBC4" w14:textId="77777777">
      <w:pPr>
        <w:spacing w:line="360" w:lineRule="auto"/>
        <w:jc w:val="center"/>
        <w:rPr>
          <w:rFonts w:ascii="Times New Roman" w:hAnsi="Times New Roman" w:cs="Times New Roman"/>
          <w:b/>
          <w:bCs/>
        </w:rPr>
      </w:pPr>
    </w:p>
    <w:p w:rsidR="00FB5742" w:rsidP="00277EAB" w:rsidRDefault="00FB5742" w14:paraId="6D29295A" w14:textId="77777777">
      <w:pPr>
        <w:spacing w:line="360" w:lineRule="auto"/>
        <w:jc w:val="center"/>
        <w:rPr>
          <w:rFonts w:ascii="Times New Roman" w:hAnsi="Times New Roman" w:cs="Times New Roman"/>
          <w:b/>
          <w:bCs/>
        </w:rPr>
      </w:pPr>
    </w:p>
    <w:p w:rsidR="00FB5742" w:rsidP="00277EAB" w:rsidRDefault="00FB5742" w14:paraId="0E6B4D4F" w14:textId="77777777">
      <w:pPr>
        <w:spacing w:line="360" w:lineRule="auto"/>
        <w:jc w:val="center"/>
        <w:rPr>
          <w:rFonts w:ascii="Times New Roman" w:hAnsi="Times New Roman" w:cs="Times New Roman"/>
          <w:b/>
          <w:bCs/>
        </w:rPr>
      </w:pPr>
    </w:p>
    <w:p w:rsidR="00FB5742" w:rsidP="00277EAB" w:rsidRDefault="00FB5742" w14:paraId="12C35BD8" w14:textId="77777777">
      <w:pPr>
        <w:spacing w:line="360" w:lineRule="auto"/>
        <w:jc w:val="center"/>
        <w:rPr>
          <w:rFonts w:ascii="Times New Roman" w:hAnsi="Times New Roman" w:cs="Times New Roman"/>
          <w:b/>
          <w:bCs/>
        </w:rPr>
      </w:pPr>
    </w:p>
    <w:p w:rsidR="00FB5742" w:rsidP="00277EAB" w:rsidRDefault="00FB5742" w14:paraId="074882D6" w14:textId="77777777">
      <w:pPr>
        <w:spacing w:line="360" w:lineRule="auto"/>
        <w:jc w:val="center"/>
        <w:rPr>
          <w:rFonts w:ascii="Times New Roman" w:hAnsi="Times New Roman" w:cs="Times New Roman"/>
          <w:b/>
          <w:bCs/>
        </w:rPr>
      </w:pPr>
    </w:p>
    <w:p w:rsidR="00FB5742" w:rsidP="00277EAB" w:rsidRDefault="00FB5742" w14:paraId="5FE03D99" w14:textId="77777777">
      <w:pPr>
        <w:spacing w:line="360" w:lineRule="auto"/>
        <w:jc w:val="center"/>
        <w:rPr>
          <w:rFonts w:ascii="Times New Roman" w:hAnsi="Times New Roman" w:cs="Times New Roman"/>
          <w:b/>
          <w:bCs/>
        </w:rPr>
      </w:pPr>
    </w:p>
    <w:p w:rsidR="00FB5742" w:rsidP="00277EAB" w:rsidRDefault="00FB5742" w14:paraId="1EFB62AF" w14:textId="77777777">
      <w:pPr>
        <w:spacing w:line="360" w:lineRule="auto"/>
        <w:jc w:val="center"/>
        <w:rPr>
          <w:rFonts w:ascii="Times New Roman" w:hAnsi="Times New Roman" w:cs="Times New Roman"/>
          <w:b/>
          <w:bCs/>
        </w:rPr>
      </w:pPr>
    </w:p>
    <w:p w:rsidR="00FB5742" w:rsidP="00277EAB" w:rsidRDefault="00FB5742" w14:paraId="4917C403" w14:textId="77777777">
      <w:pPr>
        <w:spacing w:line="360" w:lineRule="auto"/>
        <w:jc w:val="center"/>
        <w:rPr>
          <w:rFonts w:ascii="Times New Roman" w:hAnsi="Times New Roman" w:cs="Times New Roman"/>
          <w:b/>
          <w:bCs/>
        </w:rPr>
      </w:pPr>
    </w:p>
    <w:p w:rsidR="00FB5742" w:rsidP="00277EAB" w:rsidRDefault="00FB5742" w14:paraId="16BD98B3" w14:textId="77777777">
      <w:pPr>
        <w:spacing w:line="360" w:lineRule="auto"/>
        <w:jc w:val="center"/>
        <w:rPr>
          <w:rFonts w:ascii="Times New Roman" w:hAnsi="Times New Roman" w:cs="Times New Roman"/>
          <w:b/>
          <w:bCs/>
        </w:rPr>
      </w:pPr>
    </w:p>
    <w:p w:rsidR="00FB5742" w:rsidP="00277EAB" w:rsidRDefault="00FB5742" w14:paraId="15A487CF" w14:textId="77777777">
      <w:pPr>
        <w:spacing w:line="360" w:lineRule="auto"/>
        <w:jc w:val="center"/>
        <w:rPr>
          <w:rFonts w:ascii="Times New Roman" w:hAnsi="Times New Roman" w:cs="Times New Roman"/>
          <w:b/>
          <w:bCs/>
        </w:rPr>
      </w:pPr>
    </w:p>
    <w:p w:rsidR="00FB5742" w:rsidP="00277EAB" w:rsidRDefault="00FB5742" w14:paraId="28F4CCB6" w14:textId="77777777">
      <w:pPr>
        <w:spacing w:line="360" w:lineRule="auto"/>
        <w:jc w:val="center"/>
        <w:rPr>
          <w:rFonts w:ascii="Times New Roman" w:hAnsi="Times New Roman" w:cs="Times New Roman"/>
          <w:b/>
          <w:bCs/>
        </w:rPr>
      </w:pPr>
    </w:p>
    <w:p w:rsidR="00FB5742" w:rsidP="00277EAB" w:rsidRDefault="00FB5742" w14:paraId="004F444C" w14:textId="77777777">
      <w:pPr>
        <w:spacing w:line="360" w:lineRule="auto"/>
        <w:jc w:val="center"/>
        <w:rPr>
          <w:rFonts w:ascii="Times New Roman" w:hAnsi="Times New Roman" w:cs="Times New Roman"/>
          <w:b/>
          <w:bCs/>
        </w:rPr>
      </w:pPr>
    </w:p>
    <w:p w:rsidR="00FB5742" w:rsidP="00277EAB" w:rsidRDefault="00FB5742" w14:paraId="05F2B970" w14:textId="77777777">
      <w:pPr>
        <w:spacing w:line="360" w:lineRule="auto"/>
        <w:jc w:val="center"/>
        <w:rPr>
          <w:rFonts w:ascii="Times New Roman" w:hAnsi="Times New Roman" w:cs="Times New Roman"/>
          <w:b/>
          <w:bCs/>
        </w:rPr>
      </w:pPr>
    </w:p>
    <w:p w:rsidR="00FB5742" w:rsidP="00277EAB" w:rsidRDefault="00FB5742" w14:paraId="3881FF24" w14:textId="77777777">
      <w:pPr>
        <w:spacing w:line="360" w:lineRule="auto"/>
        <w:jc w:val="center"/>
        <w:rPr>
          <w:rFonts w:ascii="Times New Roman" w:hAnsi="Times New Roman" w:cs="Times New Roman"/>
          <w:b/>
          <w:bCs/>
        </w:rPr>
      </w:pPr>
    </w:p>
    <w:p w:rsidR="00FB5742" w:rsidP="00277EAB" w:rsidRDefault="00FB5742" w14:paraId="3C14202B" w14:textId="77777777">
      <w:pPr>
        <w:spacing w:line="360" w:lineRule="auto"/>
        <w:jc w:val="center"/>
        <w:rPr>
          <w:rFonts w:ascii="Times New Roman" w:hAnsi="Times New Roman" w:cs="Times New Roman"/>
          <w:b/>
          <w:bCs/>
        </w:rPr>
      </w:pPr>
    </w:p>
    <w:p w:rsidR="41F8FCFD" w:rsidP="41F8FCFD" w:rsidRDefault="41F8FCFD" w14:paraId="6B11D02E" w14:textId="6F3194CB">
      <w:pPr>
        <w:spacing w:line="360" w:lineRule="auto"/>
        <w:jc w:val="center"/>
        <w:rPr>
          <w:rFonts w:ascii="Times New Roman" w:hAnsi="Times New Roman" w:cs="Times New Roman"/>
          <w:b w:val="1"/>
          <w:bCs w:val="1"/>
        </w:rPr>
      </w:pPr>
    </w:p>
    <w:p w:rsidR="41F8FCFD" w:rsidP="41F8FCFD" w:rsidRDefault="41F8FCFD" w14:paraId="4686E750" w14:textId="53487470">
      <w:pPr>
        <w:spacing w:line="360" w:lineRule="auto"/>
        <w:jc w:val="center"/>
        <w:rPr>
          <w:rFonts w:ascii="Times New Roman" w:hAnsi="Times New Roman" w:cs="Times New Roman"/>
          <w:b w:val="1"/>
          <w:bCs w:val="1"/>
        </w:rPr>
      </w:pPr>
    </w:p>
    <w:p w:rsidR="41F8FCFD" w:rsidP="41F8FCFD" w:rsidRDefault="41F8FCFD" w14:paraId="5464AD97" w14:textId="3C704374">
      <w:pPr>
        <w:spacing w:line="360" w:lineRule="auto"/>
        <w:jc w:val="center"/>
        <w:rPr>
          <w:rFonts w:ascii="Times New Roman" w:hAnsi="Times New Roman" w:cs="Times New Roman"/>
          <w:b w:val="1"/>
          <w:bCs w:val="1"/>
        </w:rPr>
      </w:pPr>
    </w:p>
    <w:p w:rsidR="41F8FCFD" w:rsidP="41F8FCFD" w:rsidRDefault="41F8FCFD" w14:paraId="793D9000" w14:textId="1169F898">
      <w:pPr>
        <w:spacing w:line="360" w:lineRule="auto"/>
        <w:jc w:val="center"/>
        <w:rPr>
          <w:rFonts w:ascii="Times New Roman" w:hAnsi="Times New Roman" w:cs="Times New Roman"/>
          <w:b w:val="1"/>
          <w:bCs w:val="1"/>
        </w:rPr>
      </w:pPr>
    </w:p>
    <w:p w:rsidR="41F8FCFD" w:rsidP="41F8FCFD" w:rsidRDefault="41F8FCFD" w14:paraId="0A9D79DB" w14:textId="0CF8E872">
      <w:pPr>
        <w:spacing w:line="360" w:lineRule="auto"/>
        <w:jc w:val="center"/>
        <w:rPr>
          <w:rFonts w:ascii="Times New Roman" w:hAnsi="Times New Roman" w:cs="Times New Roman"/>
          <w:b w:val="1"/>
          <w:bCs w:val="1"/>
        </w:rPr>
      </w:pPr>
    </w:p>
    <w:p w:rsidRPr="00707515" w:rsidR="00707515" w:rsidP="00277EAB" w:rsidRDefault="00707515" w14:paraId="631B9091" w14:textId="6E25D2C7">
      <w:pPr>
        <w:spacing w:line="360" w:lineRule="auto"/>
        <w:jc w:val="center"/>
        <w:rPr>
          <w:rFonts w:ascii="Times New Roman" w:hAnsi="Times New Roman" w:cs="Times New Roman"/>
          <w:b/>
          <w:bCs/>
        </w:rPr>
      </w:pPr>
      <w:r w:rsidRPr="00707515">
        <w:rPr>
          <w:rFonts w:ascii="Times New Roman" w:hAnsi="Times New Roman" w:cs="Times New Roman"/>
          <w:b/>
          <w:bCs/>
        </w:rPr>
        <w:lastRenderedPageBreak/>
        <w:t>References</w:t>
      </w:r>
    </w:p>
    <w:p w:rsidRPr="00707515" w:rsidR="00707515" w:rsidP="00FB5742" w:rsidRDefault="00707515" w14:paraId="3385EE68" w14:textId="77777777">
      <w:pPr>
        <w:spacing w:line="360" w:lineRule="auto"/>
        <w:ind w:left="720" w:hanging="720"/>
        <w:rPr>
          <w:rFonts w:ascii="Times New Roman" w:hAnsi="Times New Roman" w:cs="Times New Roman"/>
        </w:rPr>
      </w:pPr>
      <w:r w:rsidRPr="00707515">
        <w:rPr>
          <w:rFonts w:ascii="Times New Roman" w:hAnsi="Times New Roman" w:cs="Times New Roman"/>
        </w:rPr>
        <w:t xml:space="preserve">Baumann, M. H., &amp; Volkow, N. D. (2016). The pharmacokinetics of drug use are decisive in addiction. </w:t>
      </w:r>
      <w:r w:rsidRPr="00707515">
        <w:rPr>
          <w:rFonts w:ascii="Times New Roman" w:hAnsi="Times New Roman" w:cs="Times New Roman"/>
          <w:i/>
          <w:iCs/>
        </w:rPr>
        <w:t>Neuroscience &amp; Biobehavioral Reviews, 68</w:t>
      </w:r>
      <w:r w:rsidRPr="00707515">
        <w:rPr>
          <w:rFonts w:ascii="Times New Roman" w:hAnsi="Times New Roman" w:cs="Times New Roman"/>
        </w:rPr>
        <w:t xml:space="preserve">, 85–93. </w:t>
      </w:r>
      <w:hyperlink w:tgtFrame="_blank" w:history="1" r:id="rId4">
        <w:r w:rsidRPr="00707515">
          <w:rPr>
            <w:rStyle w:val="Hyperlink"/>
            <w:rFonts w:ascii="Times New Roman" w:hAnsi="Times New Roman" w:cs="Times New Roman"/>
          </w:rPr>
          <w:t>https://doi.org/10.1016/j.neubiorev.2015.12.011</w:t>
        </w:r>
      </w:hyperlink>
    </w:p>
    <w:p w:rsidRPr="00707515" w:rsidR="00707515" w:rsidP="00FB5742" w:rsidRDefault="00707515" w14:paraId="3417DC8E" w14:textId="77777777">
      <w:pPr>
        <w:spacing w:line="360" w:lineRule="auto"/>
        <w:ind w:left="720" w:hanging="720"/>
        <w:rPr>
          <w:rFonts w:ascii="Times New Roman" w:hAnsi="Times New Roman" w:cs="Times New Roman"/>
        </w:rPr>
      </w:pPr>
      <w:r w:rsidRPr="00707515">
        <w:rPr>
          <w:rFonts w:ascii="Times New Roman" w:hAnsi="Times New Roman" w:cs="Times New Roman"/>
        </w:rPr>
        <w:t xml:space="preserve">Dhanasekaran, M., &amp; Paul, A. (2020). Routes of drug administration. </w:t>
      </w:r>
      <w:r w:rsidRPr="00707515">
        <w:rPr>
          <w:rFonts w:ascii="Times New Roman" w:hAnsi="Times New Roman" w:cs="Times New Roman"/>
          <w:i/>
          <w:iCs/>
        </w:rPr>
        <w:t>International Journal of Pharmaceutical Sciences and Research, 11</w:t>
      </w:r>
      <w:r w:rsidRPr="00707515">
        <w:rPr>
          <w:rFonts w:ascii="Times New Roman" w:hAnsi="Times New Roman" w:cs="Times New Roman"/>
        </w:rPr>
        <w:t xml:space="preserve">(7), 1–10. </w:t>
      </w:r>
      <w:hyperlink w:tgtFrame="_blank" w:history="1" r:id="rId5">
        <w:r w:rsidRPr="00707515">
          <w:rPr>
            <w:rStyle w:val="Hyperlink"/>
            <w:rFonts w:ascii="Times New Roman" w:hAnsi="Times New Roman" w:cs="Times New Roman"/>
          </w:rPr>
          <w:t>https://doi.org/10.13040/IJPSR.0975-8232.11(7).1-10</w:t>
        </w:r>
      </w:hyperlink>
    </w:p>
    <w:p w:rsidRPr="00707515" w:rsidR="00707515" w:rsidP="00FB5742" w:rsidRDefault="00707515" w14:paraId="12750616" w14:textId="77777777">
      <w:pPr>
        <w:spacing w:line="360" w:lineRule="auto"/>
        <w:ind w:left="720" w:hanging="720"/>
        <w:rPr>
          <w:rFonts w:ascii="Times New Roman" w:hAnsi="Times New Roman" w:cs="Times New Roman"/>
        </w:rPr>
      </w:pPr>
      <w:r w:rsidRPr="00707515">
        <w:rPr>
          <w:rFonts w:ascii="Times New Roman" w:hAnsi="Times New Roman" w:cs="Times New Roman"/>
        </w:rPr>
        <w:t xml:space="preserve">McEvoy, G. K. (Ed.). (2024). </w:t>
      </w:r>
      <w:r w:rsidRPr="00707515">
        <w:rPr>
          <w:rFonts w:ascii="Times New Roman" w:hAnsi="Times New Roman" w:cs="Times New Roman"/>
          <w:i/>
          <w:iCs/>
        </w:rPr>
        <w:t>Drug administration</w:t>
      </w:r>
      <w:r w:rsidRPr="00707515">
        <w:rPr>
          <w:rFonts w:ascii="Times New Roman" w:hAnsi="Times New Roman" w:cs="Times New Roman"/>
        </w:rPr>
        <w:t xml:space="preserve">. In </w:t>
      </w:r>
      <w:r w:rsidRPr="00707515">
        <w:rPr>
          <w:rFonts w:ascii="Times New Roman" w:hAnsi="Times New Roman" w:cs="Times New Roman"/>
          <w:i/>
          <w:iCs/>
        </w:rPr>
        <w:t>Merck Manual: Professional Version</w:t>
      </w:r>
      <w:r w:rsidRPr="00707515">
        <w:rPr>
          <w:rFonts w:ascii="Times New Roman" w:hAnsi="Times New Roman" w:cs="Times New Roman"/>
        </w:rPr>
        <w:t xml:space="preserve">. Merck &amp; Co. </w:t>
      </w:r>
      <w:hyperlink w:tgtFrame="_blank" w:history="1" r:id="rId6">
        <w:r w:rsidRPr="00707515">
          <w:rPr>
            <w:rStyle w:val="Hyperlink"/>
            <w:rFonts w:ascii="Times New Roman" w:hAnsi="Times New Roman" w:cs="Times New Roman"/>
          </w:rPr>
          <w:t>https://www.merckmanuals.com/professional/drugs-administration-and-kinetics-of-drugs/drug-administration</w:t>
        </w:r>
      </w:hyperlink>
    </w:p>
    <w:p w:rsidRPr="00707515" w:rsidR="00707515" w:rsidP="00FB5742" w:rsidRDefault="00707515" w14:paraId="2E772CF2" w14:textId="77777777">
      <w:pPr>
        <w:spacing w:line="360" w:lineRule="auto"/>
        <w:ind w:left="720" w:hanging="720"/>
        <w:rPr>
          <w:rFonts w:ascii="Times New Roman" w:hAnsi="Times New Roman" w:cs="Times New Roman"/>
        </w:rPr>
      </w:pPr>
      <w:r w:rsidRPr="00707515">
        <w:rPr>
          <w:rFonts w:ascii="Times New Roman" w:hAnsi="Times New Roman" w:cs="Times New Roman"/>
        </w:rPr>
        <w:t xml:space="preserve">Terry, B. E., &amp; McClain, S. (2021). Medication routes of administration. In </w:t>
      </w:r>
      <w:proofErr w:type="spellStart"/>
      <w:r w:rsidRPr="00707515">
        <w:rPr>
          <w:rFonts w:ascii="Times New Roman" w:hAnsi="Times New Roman" w:cs="Times New Roman"/>
          <w:i/>
          <w:iCs/>
        </w:rPr>
        <w:t>StatPearls</w:t>
      </w:r>
      <w:proofErr w:type="spellEnd"/>
      <w:r w:rsidRPr="00707515">
        <w:rPr>
          <w:rFonts w:ascii="Times New Roman" w:hAnsi="Times New Roman" w:cs="Times New Roman"/>
        </w:rPr>
        <w:t xml:space="preserve">. </w:t>
      </w:r>
      <w:proofErr w:type="spellStart"/>
      <w:r w:rsidRPr="00707515">
        <w:rPr>
          <w:rFonts w:ascii="Times New Roman" w:hAnsi="Times New Roman" w:cs="Times New Roman"/>
        </w:rPr>
        <w:t>StatPearls</w:t>
      </w:r>
      <w:proofErr w:type="spellEnd"/>
      <w:r w:rsidRPr="00707515">
        <w:rPr>
          <w:rFonts w:ascii="Times New Roman" w:hAnsi="Times New Roman" w:cs="Times New Roman"/>
        </w:rPr>
        <w:t xml:space="preserve"> Publishing. </w:t>
      </w:r>
      <w:hyperlink w:tgtFrame="_blank" w:history="1" r:id="rId7">
        <w:r w:rsidRPr="00707515">
          <w:rPr>
            <w:rStyle w:val="Hyperlink"/>
            <w:rFonts w:ascii="Times New Roman" w:hAnsi="Times New Roman" w:cs="Times New Roman"/>
          </w:rPr>
          <w:t>https://www.ncbi.nlm.nih.gov/books/NBK568677/</w:t>
        </w:r>
      </w:hyperlink>
    </w:p>
    <w:p w:rsidRPr="005A4705" w:rsidR="000F0E74" w:rsidP="005A4705" w:rsidRDefault="000F0E74" w14:paraId="4732E054" w14:textId="77777777">
      <w:pPr>
        <w:spacing w:line="360" w:lineRule="auto"/>
        <w:rPr>
          <w:rFonts w:ascii="Times New Roman" w:hAnsi="Times New Roman" w:cs="Times New Roman"/>
        </w:rPr>
      </w:pPr>
    </w:p>
    <w:sectPr w:rsidRPr="005A4705" w:rsidR="000F0E7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E74"/>
    <w:rsid w:val="00077B94"/>
    <w:rsid w:val="00080481"/>
    <w:rsid w:val="000E2A6E"/>
    <w:rsid w:val="000F0E74"/>
    <w:rsid w:val="00157B66"/>
    <w:rsid w:val="001777DA"/>
    <w:rsid w:val="001A3DF2"/>
    <w:rsid w:val="00262394"/>
    <w:rsid w:val="00277EAB"/>
    <w:rsid w:val="002D6FA8"/>
    <w:rsid w:val="002F6C60"/>
    <w:rsid w:val="00490121"/>
    <w:rsid w:val="004917C3"/>
    <w:rsid w:val="00553DCE"/>
    <w:rsid w:val="005702A1"/>
    <w:rsid w:val="005A4705"/>
    <w:rsid w:val="005F7BAE"/>
    <w:rsid w:val="00651434"/>
    <w:rsid w:val="00697290"/>
    <w:rsid w:val="00707515"/>
    <w:rsid w:val="00825A84"/>
    <w:rsid w:val="008A60AD"/>
    <w:rsid w:val="00923A4E"/>
    <w:rsid w:val="00B86CCE"/>
    <w:rsid w:val="00C1277A"/>
    <w:rsid w:val="00CE0179"/>
    <w:rsid w:val="00CE69C8"/>
    <w:rsid w:val="00EB6784"/>
    <w:rsid w:val="00EC2FAD"/>
    <w:rsid w:val="00FB5742"/>
    <w:rsid w:val="1A6F4EDA"/>
    <w:rsid w:val="1E4FA3AA"/>
    <w:rsid w:val="21BE4913"/>
    <w:rsid w:val="29112118"/>
    <w:rsid w:val="41F8FCFD"/>
    <w:rsid w:val="4AAE77E3"/>
    <w:rsid w:val="4C83EF13"/>
    <w:rsid w:val="5960823D"/>
    <w:rsid w:val="62CB15A1"/>
    <w:rsid w:val="688983E0"/>
    <w:rsid w:val="71D6EF08"/>
    <w:rsid w:val="7B00F5A2"/>
    <w:rsid w:val="7EF30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40A15B"/>
  <w15:chartTrackingRefBased/>
  <w15:docId w15:val="{8FD116F6-9914-4F94-9F31-BA5293BC0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F0E7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E7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E7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F0E7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F0E7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F0E7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F0E7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F0E7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F0E7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F0E7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F0E7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F0E74"/>
    <w:rPr>
      <w:rFonts w:eastAsiaTheme="majorEastAsia" w:cstheme="majorBidi"/>
      <w:color w:val="272727" w:themeColor="text1" w:themeTint="D8"/>
    </w:rPr>
  </w:style>
  <w:style w:type="paragraph" w:styleId="Title">
    <w:name w:val="Title"/>
    <w:basedOn w:val="Normal"/>
    <w:next w:val="Normal"/>
    <w:link w:val="TitleChar"/>
    <w:uiPriority w:val="10"/>
    <w:qFormat/>
    <w:rsid w:val="000F0E7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F0E7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F0E7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F0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E74"/>
    <w:pPr>
      <w:spacing w:before="160"/>
      <w:jc w:val="center"/>
    </w:pPr>
    <w:rPr>
      <w:i/>
      <w:iCs/>
      <w:color w:val="404040" w:themeColor="text1" w:themeTint="BF"/>
    </w:rPr>
  </w:style>
  <w:style w:type="character" w:styleId="QuoteChar" w:customStyle="1">
    <w:name w:val="Quote Char"/>
    <w:basedOn w:val="DefaultParagraphFont"/>
    <w:link w:val="Quote"/>
    <w:uiPriority w:val="29"/>
    <w:rsid w:val="000F0E74"/>
    <w:rPr>
      <w:i/>
      <w:iCs/>
      <w:color w:val="404040" w:themeColor="text1" w:themeTint="BF"/>
    </w:rPr>
  </w:style>
  <w:style w:type="paragraph" w:styleId="ListParagraph">
    <w:name w:val="List Paragraph"/>
    <w:basedOn w:val="Normal"/>
    <w:uiPriority w:val="34"/>
    <w:qFormat/>
    <w:rsid w:val="000F0E74"/>
    <w:pPr>
      <w:ind w:left="720"/>
      <w:contextualSpacing/>
    </w:pPr>
  </w:style>
  <w:style w:type="character" w:styleId="IntenseEmphasis">
    <w:name w:val="Intense Emphasis"/>
    <w:basedOn w:val="DefaultParagraphFont"/>
    <w:uiPriority w:val="21"/>
    <w:qFormat/>
    <w:rsid w:val="000F0E74"/>
    <w:rPr>
      <w:i/>
      <w:iCs/>
      <w:color w:val="0F4761" w:themeColor="accent1" w:themeShade="BF"/>
    </w:rPr>
  </w:style>
  <w:style w:type="paragraph" w:styleId="IntenseQuote">
    <w:name w:val="Intense Quote"/>
    <w:basedOn w:val="Normal"/>
    <w:next w:val="Normal"/>
    <w:link w:val="IntenseQuoteChar"/>
    <w:uiPriority w:val="30"/>
    <w:qFormat/>
    <w:rsid w:val="000F0E7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F0E74"/>
    <w:rPr>
      <w:i/>
      <w:iCs/>
      <w:color w:val="0F4761" w:themeColor="accent1" w:themeShade="BF"/>
    </w:rPr>
  </w:style>
  <w:style w:type="character" w:styleId="IntenseReference">
    <w:name w:val="Intense Reference"/>
    <w:basedOn w:val="DefaultParagraphFont"/>
    <w:uiPriority w:val="32"/>
    <w:qFormat/>
    <w:rsid w:val="000F0E74"/>
    <w:rPr>
      <w:b/>
      <w:bCs/>
      <w:smallCaps/>
      <w:color w:val="0F4761" w:themeColor="accent1" w:themeShade="BF"/>
      <w:spacing w:val="5"/>
    </w:rPr>
  </w:style>
  <w:style w:type="character" w:styleId="Hyperlink">
    <w:name w:val="Hyperlink"/>
    <w:basedOn w:val="DefaultParagraphFont"/>
    <w:uiPriority w:val="99"/>
    <w:unhideWhenUsed/>
    <w:rsid w:val="00CE0179"/>
    <w:rPr>
      <w:color w:val="467886" w:themeColor="hyperlink"/>
      <w:u w:val="single"/>
    </w:rPr>
  </w:style>
  <w:style w:type="character" w:styleId="UnresolvedMention">
    <w:name w:val="Unresolved Mention"/>
    <w:basedOn w:val="DefaultParagraphFont"/>
    <w:uiPriority w:val="99"/>
    <w:semiHidden/>
    <w:unhideWhenUsed/>
    <w:rsid w:val="00CE01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hyperlink" Target="https://www.ncbi.nlm.nih.gov/books/NBK568677/" TargetMode="Externa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yperlink" Target="https://www.merckmanuals.com/professional/drugs-administration-and-kinetics-of-drugs/drug-administration" TargetMode="External" Id="rId6" /><Relationship Type="http://schemas.openxmlformats.org/officeDocument/2006/relationships/hyperlink" Target="https://doi.org/10.13040/IJPSR.0975-8232.11(7).1-10" TargetMode="External" Id="rId5" /><Relationship Type="http://schemas.openxmlformats.org/officeDocument/2006/relationships/hyperlink" Target="https://doi.org/10.1016/j.neubiorev.2015.12.011" TargetMode="Externa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Julius charles</dc:creator>
  <keywords/>
  <dc:description/>
  <lastModifiedBy>Julius charles</lastModifiedBy>
  <revision>30</revision>
  <dcterms:created xsi:type="dcterms:W3CDTF">2025-10-17T04:55:00.0000000Z</dcterms:created>
  <dcterms:modified xsi:type="dcterms:W3CDTF">2025-10-17T07:53:48.1544388Z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17d6f259-f70d-4c96-942e-8468cc23f305</vt:lpwstr>
  </property>
</Properties>
</file>