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charts/chart3.xml" ContentType="application/vnd.openxmlformats-officedocument.drawingml.chart+xml"/>
  <Override PartName="/word/charts/chart11.xml" ContentType="application/vnd.openxmlformats-officedocument.drawingml.chart+xml"/>
  <Override PartName="/word/footer1.xml" ContentType="application/vnd.openxmlformats-officedocument.wordprocessingml.footer+xml"/>
  <Override PartName="/word/numbering.xml" ContentType="application/vnd.openxmlformats-officedocument.wordprocessingml.numbering+xml"/>
  <Override PartName="/word/charts/chart8.xml" ContentType="application/vnd.openxmlformats-officedocument.drawingml.chart+xml"/>
  <Override PartName="/word/charts/style10.xml" ContentType="application/vnd.ms-office.chartstyle+xml"/>
  <Override PartName="/word/settings.xml" ContentType="application/vnd.openxmlformats-officedocument.wordprocessingml.settings+xml"/>
  <Override PartName="/word/charts/chart9.xml" ContentType="application/vnd.openxmlformats-officedocument.drawingml.chart+xml"/>
  <Override PartName="/word/charts/chart12.xml" ContentType="application/vnd.openxmlformats-officedocument.drawingml.chart+xml"/>
  <Override PartName="/word/charts/chart4.xml" ContentType="application/vnd.openxmlformats-officedocument.drawingml.chart+xml"/>
  <Override PartName="/word/document.xml" ContentType="application/vnd.openxmlformats-officedocument.wordprocessingml.document.main+xml"/>
  <Override PartName="/customXml/itemProps1.xml" ContentType="application/vnd.openxmlformats-officedocument.customXmlProperties+xml"/>
  <Override PartName="/word/header4.xml" ContentType="application/vnd.openxmlformats-officedocument.wordprocessingml.header+xml"/>
  <Override PartName="/word/charts/colors10.xml" ContentType="application/vnd.ms-office.chartcolorstyle+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fontTable.xml" ContentType="application/vnd.openxmlformats-officedocument.wordprocessingml.fontTable+xml"/>
  <Override PartName="/word/charts/chart13.xml" ContentType="application/vnd.openxmlformats-officedocument.drawingml.chart+xml"/>
  <Override PartName="/word/charts/chart5.xml" ContentType="application/vnd.openxmlformats-officedocument.drawingml.chart+xml"/>
  <Override PartName="/docProps/core.xml" ContentType="application/vnd.openxmlformats-package.core-properties+xml"/>
  <Override PartName="/word/charts/chart14.xml" ContentType="application/vnd.openxmlformats-officedocument.drawingml.chart+xml"/>
  <Override PartName="/word/charts/chart1.xml" ContentType="application/vnd.openxmlformats-officedocument.drawingml.chart+xml"/>
  <Override PartName="/docProps/custom.xml" ContentType="application/vnd.openxmlformats-officedocument.custom-properties+xml"/>
  <Override PartName="/word/theme/themeOverride10.xml" ContentType="application/vnd.openxmlformats-officedocument.themeOverride+xml"/>
  <Override PartName="/word/header2.xml" ContentType="application/vnd.openxmlformats-officedocument.wordprocessingml.header+xml"/>
  <Override PartName="/word/charts/chart10.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2.xml" ContentType="application/vnd.openxmlformats-officedocument.drawingml.chart+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rPr>
          <w:rFonts w:ascii="Times New Roman" w:cs="Times New Roman" w:hAnsi="Times New Roman"/>
          <w:sz w:val="24"/>
          <w:szCs w:val="24"/>
        </w:rPr>
      </w:pPr>
      <w:r>
        <w:rPr>
          <w:noProof/>
          <w:sz w:val="24"/>
          <w:szCs w:val="24"/>
        </w:rPr>
        <w:t xml:space="preserve">                                               </w:t>
      </w:r>
      <w:r>
        <w:rPr>
          <w:noProof/>
          <w:sz w:val="24"/>
          <w:szCs w:val="24"/>
        </w:rPr>
        <w:drawing>
          <wp:inline distL="0" distT="0" distB="0" distR="0">
            <wp:extent cx="1411605" cy="1237767"/>
            <wp:effectExtent l="0" t="0" r="0" b="0"/>
            <wp:docPr id="1026" name="Picture 7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00"/>
                    <pic:cNvPicPr/>
                  </pic:nvPicPr>
                  <pic:blipFill>
                    <a:blip r:embed="rId2" cstate="print"/>
                    <a:srcRect l="0" t="0" r="0" b="0"/>
                    <a:stretch/>
                  </pic:blipFill>
                  <pic:spPr>
                    <a:xfrm rot="0">
                      <a:off x="0" y="0"/>
                      <a:ext cx="1411605" cy="1237767"/>
                    </a:xfrm>
                    <a:prstGeom prst="rect"/>
                  </pic:spPr>
                </pic:pic>
              </a:graphicData>
            </a:graphic>
          </wp:inline>
        </w:drawing>
      </w:r>
    </w:p>
    <w:p>
      <w:pPr>
        <w:pStyle w:val="style0"/>
        <w:spacing w:after="0" w:lineRule="auto" w:line="360"/>
        <w:jc w:val="center"/>
        <w:rPr>
          <w:rFonts w:ascii="Times New Roman" w:cs="Times New Roman" w:hAnsi="Times New Roman"/>
          <w:b/>
          <w:sz w:val="24"/>
          <w:szCs w:val="24"/>
        </w:rPr>
      </w:pPr>
    </w:p>
    <w:p>
      <w:pPr>
        <w:pStyle w:val="style0"/>
        <w:spacing w:after="0" w:lineRule="auto" w:line="360"/>
        <w:jc w:val="center"/>
        <w:rPr>
          <w:rFonts w:ascii="Times New Roman" w:cs="Times New Roman" w:hAnsi="Times New Roman"/>
          <w:b/>
          <w:sz w:val="24"/>
          <w:szCs w:val="24"/>
        </w:rPr>
      </w:pPr>
      <w:r>
        <w:rPr>
          <w:rFonts w:ascii="Times New Roman" w:cs="Times New Roman" w:hAnsi="Times New Roman"/>
          <w:b/>
          <w:sz w:val="24"/>
          <w:szCs w:val="24"/>
        </w:rPr>
        <w:t>MZUZU UNIVERSITY</w:t>
      </w:r>
    </w:p>
    <w:p>
      <w:pPr>
        <w:pStyle w:val="style0"/>
        <w:spacing w:after="0" w:lineRule="auto" w:line="360"/>
        <w:jc w:val="center"/>
        <w:rPr>
          <w:rFonts w:ascii="Times New Roman" w:cs="Times New Roman" w:hAnsi="Times New Roman"/>
          <w:b/>
          <w:sz w:val="24"/>
          <w:szCs w:val="24"/>
        </w:rPr>
      </w:pPr>
    </w:p>
    <w:p>
      <w:pPr>
        <w:pStyle w:val="style0"/>
        <w:spacing w:after="0" w:lineRule="auto" w:line="360"/>
        <w:jc w:val="center"/>
        <w:rPr>
          <w:rFonts w:ascii="Times New Roman" w:cs="Times New Roman" w:hAnsi="Times New Roman"/>
          <w:b/>
          <w:sz w:val="24"/>
          <w:szCs w:val="24"/>
        </w:rPr>
      </w:pPr>
      <w:r>
        <w:rPr>
          <w:rFonts w:ascii="Times New Roman" w:cs="Times New Roman" w:hAnsi="Times New Roman"/>
          <w:b/>
          <w:sz w:val="24"/>
          <w:szCs w:val="24"/>
        </w:rPr>
        <w:t>FACULTY OF HUMANITIES AND SOCIAL SCIENCES</w:t>
      </w:r>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AN ASSESSMENTOF FOOTBALL SPONSORSHIP AS A CORPORATE SOCIAL RESPONSIBILITY (CSR) IN MALAWI ON CUSTOMER RETENTION: A CASE STUDY OF TELECOMMUNICATION NETWORK OF MALAWI(TNM) AND FIRST DISCOUNT HOUSE BANK (FDH) SPONSORSHIP OF SUPER LEAGUE</w:t>
      </w:r>
    </w:p>
    <w:p>
      <w:pPr>
        <w:pStyle w:val="style0"/>
        <w:spacing w:after="0" w:lineRule="auto" w:line="360"/>
        <w:jc w:val="both"/>
        <w:rPr>
          <w:rFonts w:ascii="Times New Roman" w:cs="Times New Roman" w:hAnsi="Times New Roman"/>
          <w:b/>
          <w:sz w:val="24"/>
          <w:szCs w:val="24"/>
        </w:rPr>
      </w:pPr>
    </w:p>
    <w:p>
      <w:pPr>
        <w:pStyle w:val="style0"/>
        <w:spacing w:after="0" w:lineRule="auto" w:line="360"/>
        <w:ind w:left="2880"/>
        <w:jc w:val="both"/>
        <w:rPr>
          <w:rFonts w:ascii="Times New Roman" w:cs="Times New Roman" w:hAnsi="Times New Roman"/>
          <w:b/>
          <w:sz w:val="24"/>
          <w:szCs w:val="24"/>
        </w:rPr>
      </w:pPr>
    </w:p>
    <w:p>
      <w:pPr>
        <w:pStyle w:val="style0"/>
        <w:spacing w:after="0" w:lineRule="auto" w:line="360"/>
        <w:ind w:left="3600" w:firstLine="720"/>
        <w:jc w:val="both"/>
        <w:rPr>
          <w:rFonts w:ascii="Times New Roman" w:cs="Times New Roman" w:hAnsi="Times New Roman"/>
          <w:b/>
          <w:sz w:val="24"/>
          <w:szCs w:val="24"/>
        </w:rPr>
      </w:pPr>
      <w:r>
        <w:rPr>
          <w:rFonts w:ascii="Times New Roman" w:cs="Times New Roman" w:hAnsi="Times New Roman"/>
          <w:b/>
          <w:sz w:val="24"/>
          <w:szCs w:val="24"/>
        </w:rPr>
        <w:t>BY</w:t>
      </w:r>
    </w:p>
    <w:p>
      <w:pPr>
        <w:pStyle w:val="style0"/>
        <w:spacing w:after="0" w:lineRule="auto" w:line="360"/>
        <w:ind w:left="3600"/>
        <w:jc w:val="both"/>
        <w:rPr>
          <w:rFonts w:ascii="Times New Roman" w:cs="Times New Roman" w:hAnsi="Times New Roman"/>
          <w:b/>
          <w:sz w:val="24"/>
          <w:szCs w:val="24"/>
          <w:u w:val="single"/>
        </w:rPr>
      </w:pPr>
    </w:p>
    <w:p>
      <w:pPr>
        <w:pStyle w:val="style0"/>
        <w:spacing w:after="0" w:lineRule="auto" w:line="360"/>
        <w:ind w:left="3600"/>
        <w:jc w:val="both"/>
        <w:rPr>
          <w:rFonts w:ascii="Times New Roman" w:cs="Times New Roman" w:hAnsi="Times New Roman"/>
          <w:b/>
          <w:sz w:val="24"/>
          <w:szCs w:val="24"/>
          <w:u w:val="single"/>
        </w:rPr>
      </w:pPr>
      <w:r>
        <w:rPr>
          <w:rFonts w:ascii="Times New Roman" w:cs="Times New Roman" w:hAnsi="Times New Roman"/>
          <w:b/>
          <w:sz w:val="24"/>
          <w:szCs w:val="24"/>
          <w:u w:val="single"/>
        </w:rPr>
        <w:t>EMILY LUNGU</w:t>
      </w:r>
    </w:p>
    <w:p>
      <w:pPr>
        <w:pStyle w:val="style0"/>
        <w:spacing w:after="0" w:lineRule="auto" w:line="360"/>
        <w:ind w:left="3600"/>
        <w:jc w:val="both"/>
        <w:rPr>
          <w:rFonts w:ascii="Times New Roman" w:cs="Times New Roman" w:hAnsi="Times New Roman"/>
          <w:b/>
          <w:sz w:val="24"/>
          <w:szCs w:val="24"/>
        </w:rPr>
      </w:pPr>
    </w:p>
    <w:p>
      <w:pPr>
        <w:pStyle w:val="style0"/>
        <w:spacing w:after="0" w:lineRule="auto" w:line="360"/>
        <w:ind w:left="3600"/>
        <w:jc w:val="both"/>
        <w:rPr>
          <w:rFonts w:ascii="Times New Roman" w:cs="Times New Roman" w:hAnsi="Times New Roman"/>
          <w:b/>
          <w:bCs/>
          <w:sz w:val="24"/>
          <w:szCs w:val="24"/>
        </w:rPr>
      </w:pPr>
      <w:r>
        <w:rPr>
          <w:rFonts w:ascii="Times New Roman" w:cs="Times New Roman" w:hAnsi="Times New Roman"/>
          <w:b/>
          <w:sz w:val="24"/>
          <w:szCs w:val="24"/>
        </w:rPr>
        <w:t>(BACSU 4419)</w:t>
      </w:r>
    </w:p>
    <w:p>
      <w:pPr>
        <w:pStyle w:val="style0"/>
        <w:spacing w:lineRule="auto" w:line="360"/>
        <w:jc w:val="center"/>
        <w:rPr>
          <w:rFonts w:ascii="Times New Roman" w:cs="Times New Roman" w:hAnsi="Times New Roman"/>
          <w:b/>
          <w:bCs/>
          <w:sz w:val="24"/>
          <w:szCs w:val="24"/>
        </w:rPr>
      </w:pPr>
    </w:p>
    <w:p>
      <w:pPr>
        <w:pStyle w:val="style0"/>
        <w:spacing w:lineRule="auto" w:line="360"/>
        <w:jc w:val="center"/>
        <w:rPr>
          <w:rFonts w:ascii="Times New Roman" w:cs="Times New Roman" w:hAnsi="Times New Roman"/>
          <w:b/>
          <w:bCs/>
          <w:sz w:val="24"/>
          <w:szCs w:val="24"/>
        </w:rPr>
      </w:pPr>
    </w:p>
    <w:p>
      <w:pPr>
        <w:pStyle w:val="style0"/>
        <w:spacing w:lineRule="auto" w:line="360"/>
        <w:jc w:val="center"/>
        <w:rPr>
          <w:rFonts w:ascii="Times New Roman" w:cs="Times New Roman" w:hAnsi="Times New Roman"/>
          <w:b/>
          <w:bCs/>
          <w:sz w:val="24"/>
          <w:szCs w:val="24"/>
        </w:rPr>
      </w:pPr>
    </w:p>
    <w:p>
      <w:pPr>
        <w:pStyle w:val="style0"/>
        <w:spacing w:lineRule="auto" w:line="360"/>
        <w:jc w:val="center"/>
        <w:rPr>
          <w:rFonts w:ascii="Times New Roman" w:cs="Times New Roman" w:hAnsi="Times New Roman"/>
          <w:b/>
          <w:bCs/>
          <w:i/>
          <w:iCs/>
          <w:sz w:val="24"/>
          <w:szCs w:val="24"/>
        </w:rPr>
      </w:pPr>
      <w:r>
        <w:rPr>
          <w:rFonts w:ascii="Times New Roman" w:cs="Times New Roman" w:hAnsi="Times New Roman"/>
          <w:b/>
          <w:bCs/>
          <w:sz w:val="24"/>
          <w:szCs w:val="24"/>
        </w:rPr>
        <w:t xml:space="preserve">A dissertation submitted in partial fulfillment of the requirements for the degree of </w:t>
      </w:r>
      <w:r>
        <w:rPr>
          <w:rFonts w:ascii="Times New Roman" w:cs="Times New Roman" w:hAnsi="Times New Roman"/>
          <w:b/>
          <w:bCs/>
          <w:i/>
          <w:iCs/>
          <w:sz w:val="24"/>
          <w:szCs w:val="24"/>
        </w:rPr>
        <w:t>Bachelors ofArts in Communication Studies</w:t>
      </w:r>
    </w:p>
    <w:bookmarkStart w:id="0" w:name="_Toc2147032"/>
    <w:bookmarkStart w:id="1" w:name="_Toc2153522"/>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 xml:space="preserve">                                            Supervisor: Mr</w:t>
      </w:r>
      <w:bookmarkStart w:id="2" w:name="_Toc2147033"/>
      <w:bookmarkStart w:id="3" w:name="_Toc2153523"/>
      <w:bookmarkEnd w:id="0"/>
      <w:bookmarkEnd w:id="1"/>
      <w:r>
        <w:rPr>
          <w:rFonts w:ascii="Times New Roman" w:cs="Times New Roman" w:hAnsi="Times New Roman"/>
          <w:b/>
          <w:sz w:val="24"/>
          <w:szCs w:val="24"/>
        </w:rPr>
        <w:t>s. ET Kamanga</w:t>
      </w:r>
    </w:p>
    <w:p>
      <w:pPr>
        <w:pStyle w:val="style0"/>
        <w:spacing w:lineRule="auto" w:line="360"/>
        <w:rPr>
          <w:rFonts w:ascii="Times New Roman" w:cs="Times New Roman" w:hAnsi="Times New Roman"/>
          <w:b/>
          <w:sz w:val="24"/>
          <w:szCs w:val="24"/>
        </w:rPr>
        <w:sectPr>
          <w:footerReference w:type="default" r:id="rId3"/>
          <w:pgSz w:w="12240" w:h="15840" w:orient="portrait"/>
          <w:pgMar w:top="1440" w:right="1440" w:bottom="1440" w:left="1440" w:header="720" w:footer="720" w:gutter="0"/>
          <w:pgBorders w:zOrder="front" w:display="firstPage" w:offsetFrom="page">
            <w:top w:val="thickThinLargeGap" w:sz="24" w:space="24" w:color="auto"/>
            <w:left w:val="thickThinLargeGap" w:sz="24" w:space="24" w:color="auto"/>
            <w:bottom w:val="thickThinLargeGap" w:sz="24" w:space="24" w:color="auto"/>
            <w:right w:val="thickThinLargeGap" w:sz="24" w:space="24" w:color="auto"/>
          </w:pgBorders>
          <w:cols w:space="720"/>
          <w:titlePg/>
          <w:docGrid w:linePitch="360"/>
        </w:sectPr>
      </w:pPr>
      <w:r>
        <w:rPr>
          <w:rFonts w:ascii="Times New Roman" w:cs="Times New Roman" w:hAnsi="Times New Roman"/>
          <w:b/>
          <w:sz w:val="24"/>
          <w:szCs w:val="24"/>
        </w:rPr>
        <w:t xml:space="preserve">                                            Year of Submission: December 20</w:t>
      </w:r>
      <w:bookmarkStart w:id="4" w:name="_GoBack"/>
      <w:bookmarkEnd w:id="2"/>
      <w:bookmarkEnd w:id="3"/>
      <w:bookmarkEnd w:id="4"/>
    </w:p>
    <w:p>
      <w:pPr>
        <w:pStyle w:val="style266"/>
        <w:spacing w:lineRule="auto" w:line="360"/>
        <w:rPr>
          <w:sz w:val="24"/>
          <w:szCs w:val="24"/>
        </w:rPr>
      </w:pPr>
      <w:r>
        <w:rPr>
          <w:sz w:val="24"/>
          <w:szCs w:val="24"/>
        </w:rPr>
        <w:t>Contents</w:t>
      </w:r>
    </w:p>
    <w:p>
      <w:pPr>
        <w:pStyle w:val="style19"/>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TOC \o "1-3" \h \z \u </w:instrText>
      </w:r>
      <w:r>
        <w:rPr>
          <w:sz w:val="24"/>
          <w:szCs w:val="24"/>
        </w:rPr>
        <w:fldChar w:fldCharType="separate"/>
      </w:r>
      <w:r>
        <w:rPr>
          <w:sz w:val="24"/>
          <w:szCs w:val="24"/>
        </w:rPr>
        <w:fldChar w:fldCharType="begin"/>
      </w:r>
      <w:r>
        <w:rPr>
          <w:sz w:val="24"/>
          <w:szCs w:val="24"/>
        </w:rPr>
        <w:instrText xml:space="preserve"> HYPERLINK \l "_Toc125582506" </w:instrText>
      </w:r>
      <w:r>
        <w:rPr>
          <w:sz w:val="24"/>
          <w:szCs w:val="24"/>
        </w:rPr>
        <w:fldChar w:fldCharType="separate"/>
      </w:r>
      <w:r>
        <w:rPr>
          <w:rStyle w:val="style85"/>
          <w:noProof/>
          <w:sz w:val="24"/>
          <w:szCs w:val="24"/>
        </w:rPr>
        <w:t>CHAPTER ONE: INTRODUCTION</w:t>
      </w:r>
      <w:r>
        <w:rPr>
          <w:noProof/>
          <w:webHidden/>
          <w:sz w:val="24"/>
          <w:szCs w:val="24"/>
        </w:rPr>
        <w:tab/>
      </w:r>
      <w:r>
        <w:rPr>
          <w:noProof/>
          <w:webHidden/>
          <w:sz w:val="24"/>
          <w:szCs w:val="24"/>
        </w:rPr>
        <w:fldChar w:fldCharType="begin"/>
      </w:r>
      <w:r>
        <w:rPr>
          <w:noProof/>
          <w:webHidden/>
          <w:sz w:val="24"/>
          <w:szCs w:val="24"/>
        </w:rPr>
        <w:instrText xml:space="preserve"> PAGEREF _Toc125582506 \h </w:instrText>
      </w:r>
      <w:r>
        <w:rPr>
          <w:noProof/>
          <w:webHidden/>
          <w:sz w:val="24"/>
          <w:szCs w:val="24"/>
        </w:rPr>
        <w:fldChar w:fldCharType="separate"/>
      </w:r>
      <w:r>
        <w:rPr>
          <w:noProof/>
          <w:webHidden/>
          <w:sz w:val="24"/>
          <w:szCs w:val="24"/>
        </w:rPr>
        <w:t>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"_Toc125582507" </w:instrText>
      </w:r>
      <w:r>
        <w:rPr>
          <w:sz w:val="24"/>
          <w:szCs w:val="24"/>
        </w:rPr>
        <w:fldChar w:fldCharType="separate"/>
      </w:r>
      <w:r>
        <w:rPr>
          <w:rStyle w:val="style85"/>
          <w:noProof/>
          <w:sz w:val="24"/>
          <w:szCs w:val="24"/>
        </w:rPr>
        <w:t>1.1. Background Information</w:t>
      </w:r>
      <w:r>
        <w:rPr>
          <w:noProof/>
          <w:webHidden/>
          <w:sz w:val="24"/>
          <w:szCs w:val="24"/>
        </w:rPr>
        <w:tab/>
      </w:r>
      <w:r>
        <w:rPr>
          <w:noProof/>
          <w:webHidden/>
          <w:sz w:val="24"/>
          <w:szCs w:val="24"/>
        </w:rPr>
        <w:fldChar w:fldCharType="begin"/>
      </w:r>
      <w:r>
        <w:rPr>
          <w:noProof/>
          <w:webHidden/>
          <w:sz w:val="24"/>
          <w:szCs w:val="24"/>
        </w:rPr>
        <w:instrText xml:space="preserve"> PAGEREF _Toc125582507 \h </w:instrText>
      </w:r>
      <w:r>
        <w:rPr>
          <w:noProof/>
          <w:webHidden/>
          <w:sz w:val="24"/>
          <w:szCs w:val="24"/>
        </w:rPr>
        <w:fldChar w:fldCharType="separate"/>
      </w:r>
      <w:r>
        <w:rPr>
          <w:noProof/>
          <w:webHidden/>
          <w:sz w:val="24"/>
          <w:szCs w:val="24"/>
        </w:rPr>
        <w:t>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"_Toc125582508" </w:instrText>
      </w:r>
      <w:r>
        <w:rPr>
          <w:sz w:val="24"/>
          <w:szCs w:val="24"/>
        </w:rPr>
        <w:fldChar w:fldCharType="separate"/>
      </w:r>
      <w:r>
        <w:rPr>
          <w:rStyle w:val="style85"/>
          <w:b/>
          <w:noProof/>
          <w:sz w:val="24"/>
          <w:szCs w:val="24"/>
        </w:rPr>
        <w:t>1.2. The Statement of the Problem</w:t>
      </w:r>
      <w:r>
        <w:rPr>
          <w:noProof/>
          <w:webHidden/>
          <w:sz w:val="24"/>
          <w:szCs w:val="24"/>
        </w:rPr>
        <w:tab/>
      </w:r>
      <w:r>
        <w:rPr>
          <w:noProof/>
          <w:webHidden/>
          <w:sz w:val="24"/>
          <w:szCs w:val="24"/>
        </w:rPr>
        <w:fldChar w:fldCharType="begin"/>
      </w:r>
      <w:r>
        <w:rPr>
          <w:noProof/>
          <w:webHidden/>
          <w:sz w:val="24"/>
          <w:szCs w:val="24"/>
        </w:rPr>
        <w:instrText xml:space="preserve"> PAGEREF _Toc125582508 \h </w:instrText>
      </w:r>
      <w:r>
        <w:rPr>
          <w:noProof/>
          <w:webHidden/>
          <w:sz w:val="24"/>
          <w:szCs w:val="24"/>
        </w:rPr>
        <w:fldChar w:fldCharType="separate"/>
      </w:r>
      <w:r>
        <w:rPr>
          <w:noProof/>
          <w:webHidden/>
          <w:sz w:val="24"/>
          <w:szCs w:val="24"/>
        </w:rPr>
        <w:t>5</w:t>
      </w:r>
      <w:r>
        <w:rPr>
          <w:noProof/>
          <w:webHidden/>
          <w:sz w:val="24"/>
          <w:szCs w:val="24"/>
        </w:rPr>
        <w:fldChar w:fldCharType="end"/>
      </w:r>
      <w:r>
        <w:rPr>
          <w:sz w:val="24"/>
          <w:szCs w:val="24"/>
        </w:rPr>
        <w:fldChar w:fldCharType="end"/>
      </w:r>
      <w:r>
        <w:rPr>
          <w:rStyle w:val="style85"/>
          <w:noProof/>
          <w:sz w:val="24"/>
          <w:szCs w:val="24"/>
        </w:rPr>
        <w:t>'</w:t>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"_Toc125582509" </w:instrText>
      </w:r>
      <w:r>
        <w:rPr>
          <w:sz w:val="24"/>
          <w:szCs w:val="24"/>
        </w:rPr>
        <w:fldChar w:fldCharType="separate"/>
      </w:r>
      <w:r>
        <w:rPr>
          <w:rStyle w:val="style85"/>
          <w:noProof/>
          <w:sz w:val="24"/>
          <w:szCs w:val="24"/>
        </w:rPr>
        <w:t>1.3. Significance of the study</w:t>
      </w:r>
      <w:r>
        <w:rPr>
          <w:noProof/>
          <w:webHidden/>
          <w:sz w:val="24"/>
          <w:szCs w:val="24"/>
        </w:rPr>
        <w:tab/>
      </w:r>
      <w:r>
        <w:rPr>
          <w:noProof/>
          <w:webHidden/>
          <w:sz w:val="24"/>
          <w:szCs w:val="24"/>
        </w:rPr>
        <w:fldChar w:fldCharType="begin"/>
      </w:r>
      <w:r>
        <w:rPr>
          <w:noProof/>
          <w:webHidden/>
          <w:sz w:val="24"/>
          <w:szCs w:val="24"/>
        </w:rPr>
        <w:instrText xml:space="preserve"> PAGEREF _Toc125582509 \h </w:instrText>
      </w:r>
      <w:r>
        <w:rPr>
          <w:noProof/>
          <w:webHidden/>
          <w:sz w:val="24"/>
          <w:szCs w:val="24"/>
        </w:rPr>
        <w:fldChar w:fldCharType="separate"/>
      </w:r>
      <w:r>
        <w:rPr>
          <w:noProof/>
          <w:webHidden/>
          <w:sz w:val="24"/>
          <w:szCs w:val="24"/>
        </w:rPr>
        <w:t>6</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"_Toc125582510" </w:instrText>
      </w:r>
      <w:r>
        <w:rPr>
          <w:sz w:val="24"/>
          <w:szCs w:val="24"/>
        </w:rPr>
        <w:fldChar w:fldCharType="separate"/>
      </w:r>
      <w:r>
        <w:rPr>
          <w:rStyle w:val="style85"/>
          <w:noProof/>
          <w:sz w:val="24"/>
          <w:szCs w:val="24"/>
        </w:rPr>
        <w:t>1.4. Research Questions</w:t>
      </w:r>
      <w:r>
        <w:rPr>
          <w:noProof/>
          <w:webHidden/>
          <w:sz w:val="24"/>
          <w:szCs w:val="24"/>
        </w:rPr>
        <w:tab/>
      </w:r>
      <w:r>
        <w:rPr>
          <w:noProof/>
          <w:webHidden/>
          <w:sz w:val="24"/>
          <w:szCs w:val="24"/>
        </w:rPr>
        <w:fldChar w:fldCharType="begin"/>
      </w:r>
      <w:r>
        <w:rPr>
          <w:noProof/>
          <w:webHidden/>
          <w:sz w:val="24"/>
          <w:szCs w:val="24"/>
        </w:rPr>
        <w:instrText xml:space="preserve"> PAGEREF _Toc125582510 \h </w:instrText>
      </w:r>
      <w:r>
        <w:rPr>
          <w:noProof/>
          <w:webHidden/>
          <w:sz w:val="24"/>
          <w:szCs w:val="24"/>
        </w:rPr>
        <w:fldChar w:fldCharType="separate"/>
      </w:r>
      <w:r>
        <w:rPr>
          <w:noProof/>
          <w:webHidden/>
          <w:sz w:val="24"/>
          <w:szCs w:val="24"/>
        </w:rPr>
        <w:t>6</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"_Toc125582511" </w:instrText>
      </w:r>
      <w:r>
        <w:rPr>
          <w:sz w:val="24"/>
          <w:szCs w:val="24"/>
        </w:rPr>
        <w:fldChar w:fldCharType="separate"/>
      </w:r>
      <w:r>
        <w:rPr>
          <w:rStyle w:val="style85"/>
          <w:rFonts w:ascii="Times New Roman" w:cs="Times New Roman" w:hAnsi="Times New Roman"/>
          <w:b/>
          <w:noProof/>
          <w:sz w:val="24"/>
          <w:szCs w:val="24"/>
        </w:rPr>
        <w:t>1.4.1. Objectives of the study</w:t>
      </w:r>
      <w:r>
        <w:rPr>
          <w:noProof/>
          <w:webHidden/>
          <w:sz w:val="24"/>
          <w:szCs w:val="24"/>
        </w:rPr>
        <w:tab/>
      </w:r>
      <w:r>
        <w:rPr>
          <w:noProof/>
          <w:webHidden/>
          <w:sz w:val="24"/>
          <w:szCs w:val="24"/>
        </w:rPr>
        <w:fldChar w:fldCharType="begin"/>
      </w:r>
      <w:r>
        <w:rPr>
          <w:noProof/>
          <w:webHidden/>
          <w:sz w:val="24"/>
          <w:szCs w:val="24"/>
        </w:rPr>
        <w:instrText xml:space="preserve"> PAGEREF _Toc125582511 \h </w:instrText>
      </w:r>
      <w:r>
        <w:rPr>
          <w:noProof/>
          <w:webHidden/>
          <w:sz w:val="24"/>
          <w:szCs w:val="24"/>
        </w:rPr>
        <w:fldChar w:fldCharType="separate"/>
      </w:r>
      <w:r>
        <w:rPr>
          <w:noProof/>
          <w:webHidden/>
          <w:sz w:val="24"/>
          <w:szCs w:val="24"/>
        </w:rPr>
        <w:t>6</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"_Toc125582512" </w:instrText>
      </w:r>
      <w:r>
        <w:rPr>
          <w:sz w:val="24"/>
          <w:szCs w:val="24"/>
        </w:rPr>
        <w:fldChar w:fldCharType="separate"/>
      </w:r>
      <w:r>
        <w:rPr>
          <w:rStyle w:val="style85"/>
          <w:rFonts w:ascii="Times New Roman" w:cs="Times New Roman" w:hAnsi="Times New Roman"/>
          <w:b/>
          <w:noProof/>
          <w:sz w:val="24"/>
          <w:szCs w:val="24"/>
        </w:rPr>
        <w:t>1.4.2 General objective</w:t>
      </w:r>
      <w:r>
        <w:rPr>
          <w:noProof/>
          <w:webHidden/>
          <w:sz w:val="24"/>
          <w:szCs w:val="24"/>
        </w:rPr>
        <w:tab/>
      </w:r>
      <w:r>
        <w:rPr>
          <w:noProof/>
          <w:webHidden/>
          <w:sz w:val="24"/>
          <w:szCs w:val="24"/>
        </w:rPr>
        <w:fldChar w:fldCharType="begin"/>
      </w:r>
      <w:r>
        <w:rPr>
          <w:noProof/>
          <w:webHidden/>
          <w:sz w:val="24"/>
          <w:szCs w:val="24"/>
        </w:rPr>
        <w:instrText xml:space="preserve"> PAGEREF _Toc125582512 \h </w:instrText>
      </w:r>
      <w:r>
        <w:rPr>
          <w:noProof/>
          <w:webHidden/>
          <w:sz w:val="24"/>
          <w:szCs w:val="24"/>
        </w:rPr>
        <w:fldChar w:fldCharType="separate"/>
      </w:r>
      <w:r>
        <w:rPr>
          <w:noProof/>
          <w:webHidden/>
          <w:sz w:val="24"/>
          <w:szCs w:val="24"/>
        </w:rPr>
        <w:t>6</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"_Toc125582513" </w:instrText>
      </w:r>
      <w:r>
        <w:rPr>
          <w:sz w:val="24"/>
          <w:szCs w:val="24"/>
        </w:rPr>
        <w:fldChar w:fldCharType="separate"/>
      </w:r>
      <w:r>
        <w:rPr>
          <w:rStyle w:val="style85"/>
          <w:rFonts w:ascii="Times New Roman" w:cs="Times New Roman" w:hAnsi="Times New Roman"/>
          <w:b/>
          <w:noProof/>
          <w:sz w:val="24"/>
          <w:szCs w:val="24"/>
        </w:rPr>
        <w:t>1.4.3 Specific Objective</w:t>
      </w:r>
      <w:r>
        <w:rPr>
          <w:noProof/>
          <w:webHidden/>
          <w:sz w:val="24"/>
          <w:szCs w:val="24"/>
        </w:rPr>
        <w:tab/>
      </w:r>
      <w:r>
        <w:rPr>
          <w:noProof/>
          <w:webHidden/>
          <w:sz w:val="24"/>
          <w:szCs w:val="24"/>
        </w:rPr>
        <w:fldChar w:fldCharType="begin"/>
      </w:r>
      <w:r>
        <w:rPr>
          <w:noProof/>
          <w:webHidden/>
          <w:sz w:val="24"/>
          <w:szCs w:val="24"/>
        </w:rPr>
        <w:instrText xml:space="preserve"> PAGEREF _Toc125582513 \h </w:instrText>
      </w:r>
      <w:r>
        <w:rPr>
          <w:noProof/>
          <w:webHidden/>
          <w:sz w:val="24"/>
          <w:szCs w:val="24"/>
        </w:rPr>
        <w:fldChar w:fldCharType="separate"/>
      </w:r>
      <w:r>
        <w:rPr>
          <w:noProof/>
          <w:webHidden/>
          <w:sz w:val="24"/>
          <w:szCs w:val="24"/>
        </w:rPr>
        <w:t>7</w:t>
      </w:r>
      <w:r>
        <w:rPr>
          <w:noProof/>
          <w:webHidden/>
          <w:sz w:val="24"/>
          <w:szCs w:val="24"/>
        </w:rPr>
        <w:fldChar w:fldCharType="end"/>
      </w:r>
      <w:r>
        <w:rPr>
          <w:sz w:val="24"/>
          <w:szCs w:val="24"/>
        </w:rPr>
        <w:fldChar w:fldCharType="end"/>
      </w:r>
    </w:p>
    <w:p>
      <w:pPr>
        <w:pStyle w:val="style20"/>
        <w:tabs>
          <w:tab w:val="left" w:leader="none" w:pos="880"/>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"_Toc125582514" </w:instrText>
      </w:r>
      <w:r>
        <w:rPr>
          <w:sz w:val="24"/>
          <w:szCs w:val="24"/>
        </w:rPr>
        <w:fldChar w:fldCharType="separate"/>
      </w:r>
      <w:r>
        <w:rPr>
          <w:rStyle w:val="style85"/>
          <w:noProof/>
          <w:sz w:val="24"/>
          <w:szCs w:val="24"/>
        </w:rPr>
        <w:t>1.4.</w:t>
      </w:r>
      <w:r>
        <w:rPr>
          <w:rFonts w:eastAsia="宋体"/>
          <w:noProof/>
          <w:sz w:val="24"/>
          <w:szCs w:val="24"/>
        </w:rPr>
        <w:tab/>
      </w:r>
      <w:r>
        <w:rPr>
          <w:rStyle w:val="style85"/>
          <w:noProof/>
          <w:sz w:val="24"/>
          <w:szCs w:val="24"/>
        </w:rPr>
        <w:t>Limitations of the Study</w:t>
      </w:r>
      <w:r>
        <w:rPr>
          <w:noProof/>
          <w:webHidden/>
          <w:sz w:val="24"/>
          <w:szCs w:val="24"/>
        </w:rPr>
        <w:tab/>
      </w:r>
      <w:r>
        <w:rPr>
          <w:noProof/>
          <w:webHidden/>
          <w:sz w:val="24"/>
          <w:szCs w:val="24"/>
        </w:rPr>
        <w:fldChar w:fldCharType="begin"/>
      </w:r>
      <w:r>
        <w:rPr>
          <w:noProof/>
          <w:webHidden/>
          <w:sz w:val="24"/>
          <w:szCs w:val="24"/>
        </w:rPr>
        <w:instrText xml:space="preserve"> PAGEREF _Toc125582514 \h </w:instrText>
      </w:r>
      <w:r>
        <w:rPr>
          <w:noProof/>
          <w:webHidden/>
          <w:sz w:val="24"/>
          <w:szCs w:val="24"/>
        </w:rPr>
        <w:fldChar w:fldCharType="separate"/>
      </w:r>
      <w:r>
        <w:rPr>
          <w:noProof/>
          <w:webHidden/>
          <w:sz w:val="24"/>
          <w:szCs w:val="24"/>
        </w:rPr>
        <w:t>7</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"_Toc125582515" </w:instrText>
      </w:r>
      <w:r>
        <w:rPr>
          <w:sz w:val="24"/>
          <w:szCs w:val="24"/>
        </w:rPr>
        <w:fldChar w:fldCharType="separate"/>
      </w:r>
      <w:r>
        <w:rPr>
          <w:rStyle w:val="style85"/>
          <w:noProof/>
          <w:sz w:val="24"/>
          <w:szCs w:val="24"/>
        </w:rPr>
        <w:t>1.5.2. The European Commission definition</w:t>
      </w:r>
      <w:r>
        <w:rPr>
          <w:noProof/>
          <w:webHidden/>
          <w:sz w:val="24"/>
          <w:szCs w:val="24"/>
        </w:rPr>
        <w:tab/>
      </w:r>
      <w:r>
        <w:rPr>
          <w:noProof/>
          <w:webHidden/>
          <w:sz w:val="24"/>
          <w:szCs w:val="24"/>
        </w:rPr>
        <w:fldChar w:fldCharType="begin"/>
      </w:r>
      <w:r>
        <w:rPr>
          <w:noProof/>
          <w:webHidden/>
          <w:sz w:val="24"/>
          <w:szCs w:val="24"/>
        </w:rPr>
        <w:instrText xml:space="preserve"> PAGEREF _Toc125582515 \h </w:instrText>
      </w:r>
      <w:r>
        <w:rPr>
          <w:noProof/>
          <w:webHidden/>
          <w:sz w:val="24"/>
          <w:szCs w:val="24"/>
        </w:rPr>
        <w:fldChar w:fldCharType="separate"/>
      </w:r>
      <w:r>
        <w:rPr>
          <w:noProof/>
          <w:webHidden/>
          <w:sz w:val="24"/>
          <w:szCs w:val="24"/>
        </w:rPr>
        <w:t>7</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"_Toc125582516" </w:instrText>
      </w:r>
      <w:r>
        <w:rPr>
          <w:sz w:val="24"/>
          <w:szCs w:val="24"/>
        </w:rPr>
        <w:fldChar w:fldCharType="separate"/>
      </w:r>
      <w:r>
        <w:rPr>
          <w:rStyle w:val="style85"/>
          <w:noProof/>
          <w:sz w:val="24"/>
          <w:szCs w:val="24"/>
        </w:rPr>
        <w:t>1.5.3. The World Business Council for Sustainable Development (WBCSD)</w:t>
      </w:r>
      <w:r>
        <w:rPr>
          <w:noProof/>
          <w:webHidden/>
          <w:sz w:val="24"/>
          <w:szCs w:val="24"/>
        </w:rPr>
        <w:tab/>
      </w:r>
      <w:r>
        <w:rPr>
          <w:noProof/>
          <w:webHidden/>
          <w:sz w:val="24"/>
          <w:szCs w:val="24"/>
        </w:rPr>
        <w:fldChar w:fldCharType="begin"/>
      </w:r>
      <w:r>
        <w:rPr>
          <w:noProof/>
          <w:webHidden/>
          <w:sz w:val="24"/>
          <w:szCs w:val="24"/>
        </w:rPr>
        <w:instrText xml:space="preserve"> PAGEREF _Toc125582516 \h </w:instrText>
      </w:r>
      <w:r>
        <w:rPr>
          <w:noProof/>
          <w:webHidden/>
          <w:sz w:val="24"/>
          <w:szCs w:val="24"/>
        </w:rPr>
        <w:fldChar w:fldCharType="separate"/>
      </w:r>
      <w:r>
        <w:rPr>
          <w:noProof/>
          <w:webHidden/>
          <w:sz w:val="24"/>
          <w:szCs w:val="24"/>
        </w:rPr>
        <w:t>7</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"_Toc125582517" </w:instrText>
      </w:r>
      <w:r>
        <w:rPr>
          <w:sz w:val="24"/>
          <w:szCs w:val="24"/>
        </w:rPr>
        <w:fldChar w:fldCharType="separate"/>
      </w:r>
      <w:r>
        <w:rPr>
          <w:rStyle w:val="style85"/>
          <w:noProof/>
          <w:sz w:val="24"/>
          <w:szCs w:val="24"/>
        </w:rPr>
        <w:t>1.6THEORETICAL FRAMEWORK</w:t>
      </w:r>
      <w:r>
        <w:rPr>
          <w:noProof/>
          <w:webHidden/>
          <w:sz w:val="24"/>
          <w:szCs w:val="24"/>
        </w:rPr>
        <w:tab/>
      </w:r>
      <w:r>
        <w:rPr>
          <w:noProof/>
          <w:webHidden/>
          <w:sz w:val="24"/>
          <w:szCs w:val="24"/>
        </w:rPr>
        <w:fldChar w:fldCharType="begin"/>
      </w:r>
      <w:r>
        <w:rPr>
          <w:noProof/>
          <w:webHidden/>
          <w:sz w:val="24"/>
          <w:szCs w:val="24"/>
        </w:rPr>
        <w:instrText xml:space="preserve"> PAGEREF _Toc125582517 \h </w:instrText>
      </w:r>
      <w:r>
        <w:rPr>
          <w:noProof/>
          <w:webHidden/>
          <w:sz w:val="24"/>
          <w:szCs w:val="24"/>
        </w:rPr>
        <w:fldChar w:fldCharType="separate"/>
      </w:r>
      <w:r>
        <w:rPr>
          <w:noProof/>
          <w:webHidden/>
          <w:sz w:val="24"/>
          <w:szCs w:val="24"/>
        </w:rPr>
        <w:t>8</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"_Toc125582518" </w:instrText>
      </w:r>
      <w:r>
        <w:rPr>
          <w:sz w:val="24"/>
          <w:szCs w:val="24"/>
        </w:rPr>
        <w:fldChar w:fldCharType="separate"/>
      </w:r>
      <w:r>
        <w:rPr>
          <w:rStyle w:val="style85"/>
          <w:noProof/>
          <w:sz w:val="24"/>
          <w:szCs w:val="24"/>
        </w:rPr>
        <w:t>1.6.1Models of CSR</w:t>
      </w:r>
      <w:r>
        <w:rPr>
          <w:noProof/>
          <w:webHidden/>
          <w:sz w:val="24"/>
          <w:szCs w:val="24"/>
        </w:rPr>
        <w:tab/>
      </w:r>
      <w:r>
        <w:rPr>
          <w:noProof/>
          <w:webHidden/>
          <w:sz w:val="24"/>
          <w:szCs w:val="24"/>
        </w:rPr>
        <w:fldChar w:fldCharType="begin"/>
      </w:r>
      <w:r>
        <w:rPr>
          <w:noProof/>
          <w:webHidden/>
          <w:sz w:val="24"/>
          <w:szCs w:val="24"/>
        </w:rPr>
        <w:instrText xml:space="preserve"> PAGEREF _Toc125582518 \h </w:instrText>
      </w:r>
      <w:r>
        <w:rPr>
          <w:noProof/>
          <w:webHidden/>
          <w:sz w:val="24"/>
          <w:szCs w:val="24"/>
        </w:rPr>
        <w:fldChar w:fldCharType="separate"/>
      </w:r>
      <w:r>
        <w:rPr>
          <w:noProof/>
          <w:webHidden/>
          <w:sz w:val="24"/>
          <w:szCs w:val="24"/>
        </w:rPr>
        <w:t>8</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"_Toc125582519" </w:instrText>
      </w:r>
      <w:r>
        <w:rPr>
          <w:sz w:val="24"/>
          <w:szCs w:val="24"/>
        </w:rPr>
        <w:fldChar w:fldCharType="separate"/>
      </w:r>
      <w:r>
        <w:rPr>
          <w:rStyle w:val="style85"/>
          <w:noProof/>
          <w:sz w:val="24"/>
          <w:szCs w:val="24"/>
        </w:rPr>
        <w:t>1.6.2 stakeholder approach</w:t>
      </w:r>
      <w:r>
        <w:rPr>
          <w:noProof/>
          <w:webHidden/>
          <w:sz w:val="24"/>
          <w:szCs w:val="24"/>
        </w:rPr>
        <w:tab/>
      </w:r>
      <w:r>
        <w:rPr>
          <w:noProof/>
          <w:webHidden/>
          <w:sz w:val="24"/>
          <w:szCs w:val="24"/>
        </w:rPr>
        <w:fldChar w:fldCharType="begin"/>
      </w:r>
      <w:r>
        <w:rPr>
          <w:noProof/>
          <w:webHidden/>
          <w:sz w:val="24"/>
          <w:szCs w:val="24"/>
        </w:rPr>
        <w:instrText xml:space="preserve"> PAGEREF _Toc125582519 \h </w:instrText>
      </w:r>
      <w:r>
        <w:rPr>
          <w:noProof/>
          <w:webHidden/>
          <w:sz w:val="24"/>
          <w:szCs w:val="24"/>
        </w:rPr>
        <w:fldChar w:fldCharType="separate"/>
      </w:r>
      <w:r>
        <w:rPr>
          <w:noProof/>
          <w:webHidden/>
          <w:sz w:val="24"/>
          <w:szCs w:val="24"/>
        </w:rPr>
        <w:t>9</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"_Toc125582520" </w:instrText>
      </w:r>
      <w:r>
        <w:rPr>
          <w:sz w:val="24"/>
          <w:szCs w:val="24"/>
        </w:rPr>
        <w:fldChar w:fldCharType="separate"/>
      </w:r>
      <w:r>
        <w:rPr>
          <w:rStyle w:val="style85"/>
          <w:noProof/>
          <w:sz w:val="24"/>
          <w:szCs w:val="24"/>
        </w:rPr>
        <w:t>1.6.3 Chapter Summary</w:t>
      </w:r>
      <w:r>
        <w:rPr>
          <w:noProof/>
          <w:webHidden/>
          <w:sz w:val="24"/>
          <w:szCs w:val="24"/>
        </w:rPr>
        <w:tab/>
      </w:r>
      <w:r>
        <w:rPr>
          <w:noProof/>
          <w:webHidden/>
          <w:sz w:val="24"/>
          <w:szCs w:val="24"/>
        </w:rPr>
        <w:fldChar w:fldCharType="begin"/>
      </w:r>
      <w:r>
        <w:rPr>
          <w:noProof/>
          <w:webHidden/>
          <w:sz w:val="24"/>
          <w:szCs w:val="24"/>
        </w:rPr>
        <w:instrText xml:space="preserve"> PAGEREF _Toc125582520 \h </w:instrText>
      </w:r>
      <w:r>
        <w:rPr>
          <w:noProof/>
          <w:webHidden/>
          <w:sz w:val="24"/>
          <w:szCs w:val="24"/>
        </w:rPr>
        <w:fldChar w:fldCharType="separate"/>
      </w:r>
      <w:r>
        <w:rPr>
          <w:noProof/>
          <w:webHidden/>
          <w:sz w:val="24"/>
          <w:szCs w:val="24"/>
        </w:rPr>
        <w:t>9</w:t>
      </w:r>
      <w:r>
        <w:rPr>
          <w:noProof/>
          <w:webHidden/>
          <w:sz w:val="24"/>
          <w:szCs w:val="24"/>
        </w:rPr>
        <w:fldChar w:fldCharType="end"/>
      </w:r>
      <w:r>
        <w:rPr>
          <w:sz w:val="24"/>
          <w:szCs w:val="24"/>
        </w:rPr>
        <w:fldChar w:fldCharType="end"/>
      </w:r>
    </w:p>
    <w:p>
      <w:pPr>
        <w:pStyle w:val="style19"/>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"_Toc125582521" </w:instrText>
      </w:r>
      <w:r>
        <w:rPr>
          <w:sz w:val="24"/>
          <w:szCs w:val="24"/>
        </w:rPr>
        <w:fldChar w:fldCharType="separate"/>
      </w:r>
      <w:r>
        <w:rPr>
          <w:rStyle w:val="style85"/>
          <w:noProof/>
          <w:sz w:val="24"/>
          <w:szCs w:val="24"/>
        </w:rPr>
        <w:t>CHAPTER TWO:  LITERATURE REVIEW</w:t>
      </w:r>
      <w:r>
        <w:rPr>
          <w:noProof/>
          <w:webHidden/>
          <w:sz w:val="24"/>
          <w:szCs w:val="24"/>
        </w:rPr>
        <w:tab/>
      </w:r>
      <w:r>
        <w:rPr>
          <w:noProof/>
          <w:webHidden/>
          <w:sz w:val="24"/>
          <w:szCs w:val="24"/>
        </w:rPr>
        <w:fldChar w:fldCharType="begin"/>
      </w:r>
      <w:r>
        <w:rPr>
          <w:noProof/>
          <w:webHidden/>
          <w:sz w:val="24"/>
          <w:szCs w:val="24"/>
        </w:rPr>
        <w:instrText xml:space="preserve"> PAGEREF _Toc125582521 \h </w:instrText>
      </w:r>
      <w:r>
        <w:rPr>
          <w:noProof/>
          <w:webHidden/>
          <w:sz w:val="24"/>
          <w:szCs w:val="24"/>
        </w:rPr>
        <w:fldChar w:fldCharType="separate"/>
      </w:r>
      <w:r>
        <w:rPr>
          <w:noProof/>
          <w:webHidden/>
          <w:sz w:val="24"/>
          <w:szCs w:val="24"/>
        </w:rPr>
        <w:t>10</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"_Toc125582522" </w:instrText>
      </w:r>
      <w:r>
        <w:rPr>
          <w:sz w:val="24"/>
          <w:szCs w:val="24"/>
        </w:rPr>
        <w:fldChar w:fldCharType="separate"/>
      </w:r>
      <w:r>
        <w:rPr>
          <w:rStyle w:val="style85"/>
          <w:noProof/>
          <w:sz w:val="24"/>
          <w:szCs w:val="24"/>
        </w:rPr>
        <w:t>2.1. CHAPTER OVERVIEW</w:t>
      </w:r>
      <w:r>
        <w:rPr>
          <w:noProof/>
          <w:webHidden/>
          <w:sz w:val="24"/>
          <w:szCs w:val="24"/>
        </w:rPr>
        <w:tab/>
      </w:r>
      <w:r>
        <w:rPr>
          <w:noProof/>
          <w:webHidden/>
          <w:sz w:val="24"/>
          <w:szCs w:val="24"/>
        </w:rPr>
        <w:fldChar w:fldCharType="begin"/>
      </w:r>
      <w:r>
        <w:rPr>
          <w:noProof/>
          <w:webHidden/>
          <w:sz w:val="24"/>
          <w:szCs w:val="24"/>
        </w:rPr>
        <w:instrText xml:space="preserve"> PAGEREF _Toc125582522 \h </w:instrText>
      </w:r>
      <w:r>
        <w:rPr>
          <w:noProof/>
          <w:webHidden/>
          <w:sz w:val="24"/>
          <w:szCs w:val="24"/>
        </w:rPr>
        <w:fldChar w:fldCharType="separate"/>
      </w:r>
      <w:r>
        <w:rPr>
          <w:noProof/>
          <w:webHidden/>
          <w:sz w:val="24"/>
          <w:szCs w:val="24"/>
        </w:rPr>
        <w:t>10</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"_Toc125582523" </w:instrText>
      </w:r>
      <w:r>
        <w:rPr>
          <w:sz w:val="24"/>
          <w:szCs w:val="24"/>
        </w:rPr>
        <w:fldChar w:fldCharType="separate"/>
      </w:r>
      <w:r>
        <w:rPr>
          <w:rStyle w:val="style85"/>
          <w:noProof/>
          <w:sz w:val="24"/>
          <w:szCs w:val="24"/>
        </w:rPr>
        <w:t>2.2. OVERVIEW OF CUSTOMER RETENTION</w:t>
      </w:r>
      <w:r>
        <w:rPr>
          <w:noProof/>
          <w:webHidden/>
          <w:sz w:val="24"/>
          <w:szCs w:val="24"/>
        </w:rPr>
        <w:tab/>
      </w:r>
      <w:r>
        <w:rPr>
          <w:noProof/>
          <w:webHidden/>
          <w:sz w:val="24"/>
          <w:szCs w:val="24"/>
        </w:rPr>
        <w:fldChar w:fldCharType="begin"/>
      </w:r>
      <w:r>
        <w:rPr>
          <w:noProof/>
          <w:webHidden/>
          <w:sz w:val="24"/>
          <w:szCs w:val="24"/>
        </w:rPr>
        <w:instrText xml:space="preserve"> PAGEREF _Toc125582523 \h </w:instrText>
      </w:r>
      <w:r>
        <w:rPr>
          <w:noProof/>
          <w:webHidden/>
          <w:sz w:val="24"/>
          <w:szCs w:val="24"/>
        </w:rPr>
        <w:fldChar w:fldCharType="separate"/>
      </w:r>
      <w:r>
        <w:rPr>
          <w:noProof/>
          <w:webHidden/>
          <w:sz w:val="24"/>
          <w:szCs w:val="24"/>
        </w:rPr>
        <w:t>10</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"_Toc125582524" </w:instrText>
      </w:r>
      <w:r>
        <w:rPr>
          <w:sz w:val="24"/>
          <w:szCs w:val="24"/>
        </w:rPr>
        <w:fldChar w:fldCharType="separate"/>
      </w:r>
      <w:r>
        <w:rPr>
          <w:rStyle w:val="style85"/>
          <w:noProof/>
          <w:sz w:val="24"/>
          <w:szCs w:val="24"/>
        </w:rPr>
        <w:t>2.3. EMPERICAL STUDIES ON CSR</w:t>
      </w:r>
      <w:r>
        <w:rPr>
          <w:noProof/>
          <w:webHidden/>
          <w:sz w:val="24"/>
          <w:szCs w:val="24"/>
        </w:rPr>
        <w:tab/>
      </w:r>
      <w:r>
        <w:rPr>
          <w:noProof/>
          <w:webHidden/>
          <w:sz w:val="24"/>
          <w:szCs w:val="24"/>
        </w:rPr>
        <w:fldChar w:fldCharType="begin"/>
      </w:r>
      <w:r>
        <w:rPr>
          <w:noProof/>
          <w:webHidden/>
          <w:sz w:val="24"/>
          <w:szCs w:val="24"/>
        </w:rPr>
        <w:instrText xml:space="preserve"> PAGEREF _Toc125582524 \h </w:instrText>
      </w:r>
      <w:r>
        <w:rPr>
          <w:noProof/>
          <w:webHidden/>
          <w:sz w:val="24"/>
          <w:szCs w:val="24"/>
        </w:rPr>
        <w:fldChar w:fldCharType="separate"/>
      </w:r>
      <w:r>
        <w:rPr>
          <w:noProof/>
          <w:webHidden/>
          <w:sz w:val="24"/>
          <w:szCs w:val="24"/>
        </w:rPr>
        <w:t>10</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"_Toc125582525" </w:instrText>
      </w:r>
      <w:r>
        <w:rPr>
          <w:sz w:val="24"/>
          <w:szCs w:val="24"/>
        </w:rPr>
        <w:fldChar w:fldCharType="separate"/>
      </w:r>
      <w:r>
        <w:rPr>
          <w:rStyle w:val="style85"/>
          <w:b/>
          <w:noProof/>
          <w:sz w:val="24"/>
          <w:szCs w:val="24"/>
        </w:rPr>
        <w:t>2.4. GENERAL EFFECTS OF SPONSORSHIPS</w:t>
      </w:r>
      <w:r>
        <w:rPr>
          <w:noProof/>
          <w:webHidden/>
          <w:sz w:val="24"/>
          <w:szCs w:val="24"/>
        </w:rPr>
        <w:tab/>
      </w:r>
      <w:r>
        <w:rPr>
          <w:noProof/>
          <w:webHidden/>
          <w:sz w:val="24"/>
          <w:szCs w:val="24"/>
        </w:rPr>
        <w:fldChar w:fldCharType="begin"/>
      </w:r>
      <w:r>
        <w:rPr>
          <w:noProof/>
          <w:webHidden/>
          <w:sz w:val="24"/>
          <w:szCs w:val="24"/>
        </w:rPr>
        <w:instrText xml:space="preserve"> PAGEREF _Toc125582525 \h </w:instrText>
      </w:r>
      <w:r>
        <w:rPr>
          <w:noProof/>
          <w:webHidden/>
          <w:sz w:val="24"/>
          <w:szCs w:val="24"/>
        </w:rPr>
        <w:fldChar w:fldCharType="separate"/>
      </w:r>
      <w:r>
        <w:rPr>
          <w:noProof/>
          <w:webHidden/>
          <w:sz w:val="24"/>
          <w:szCs w:val="24"/>
        </w:rPr>
        <w:t>14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"_Toc125582526" </w:instrText>
      </w:r>
      <w:r>
        <w:rPr>
          <w:sz w:val="24"/>
          <w:szCs w:val="24"/>
        </w:rPr>
        <w:fldChar w:fldCharType="separate"/>
      </w:r>
      <w:r>
        <w:rPr>
          <w:rStyle w:val="style85"/>
          <w:noProof/>
          <w:sz w:val="24"/>
          <w:szCs w:val="24"/>
        </w:rPr>
        <w:t>2.5. STUDIES ABOUT SPONSORINGSPORTS EVENTS</w:t>
      </w:r>
      <w:r>
        <w:rPr>
          <w:noProof/>
          <w:webHidden/>
          <w:sz w:val="24"/>
          <w:szCs w:val="24"/>
        </w:rPr>
        <w:tab/>
      </w:r>
      <w:r>
        <w:rPr>
          <w:noProof/>
          <w:webHidden/>
          <w:sz w:val="24"/>
          <w:szCs w:val="24"/>
        </w:rPr>
        <w:fldChar w:fldCharType="begin"/>
      </w:r>
      <w:r>
        <w:rPr>
          <w:noProof/>
          <w:webHidden/>
          <w:sz w:val="24"/>
          <w:szCs w:val="24"/>
        </w:rPr>
        <w:instrText xml:space="preserve"> PAGEREF _Toc125582526 \h </w:instrText>
      </w:r>
      <w:r>
        <w:rPr>
          <w:noProof/>
          <w:webHidden/>
          <w:sz w:val="24"/>
          <w:szCs w:val="24"/>
        </w:rPr>
        <w:fldChar w:fldCharType="separate"/>
      </w:r>
      <w:r>
        <w:rPr>
          <w:noProof/>
          <w:webHidden/>
          <w:sz w:val="24"/>
          <w:szCs w:val="24"/>
        </w:rPr>
        <w:t>16</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"_Toc125582527" </w:instrText>
      </w:r>
      <w:r>
        <w:rPr>
          <w:sz w:val="24"/>
          <w:szCs w:val="24"/>
        </w:rPr>
        <w:fldChar w:fldCharType="separate"/>
      </w:r>
      <w:r>
        <w:rPr>
          <w:rStyle w:val="style85"/>
          <w:noProof/>
          <w:sz w:val="24"/>
          <w:szCs w:val="24"/>
        </w:rPr>
        <w:t>2.6. CORPORATE SOCIAL RESPONSIBILITY IN SPORTS CONTEXT</w:t>
      </w:r>
      <w:r>
        <w:rPr>
          <w:noProof/>
          <w:webHidden/>
          <w:sz w:val="24"/>
          <w:szCs w:val="24"/>
        </w:rPr>
        <w:tab/>
      </w:r>
      <w:r>
        <w:rPr>
          <w:noProof/>
          <w:webHidden/>
          <w:sz w:val="24"/>
          <w:szCs w:val="24"/>
        </w:rPr>
        <w:fldChar w:fldCharType="begin"/>
      </w:r>
      <w:r>
        <w:rPr>
          <w:noProof/>
          <w:webHidden/>
          <w:sz w:val="24"/>
          <w:szCs w:val="24"/>
        </w:rPr>
        <w:instrText xml:space="preserve"> PAGEREF _Toc125582527 \h </w:instrText>
      </w:r>
      <w:r>
        <w:rPr>
          <w:noProof/>
          <w:webHidden/>
          <w:sz w:val="24"/>
          <w:szCs w:val="24"/>
        </w:rPr>
        <w:fldChar w:fldCharType="separate"/>
      </w:r>
      <w:r>
        <w:rPr>
          <w:noProof/>
          <w:webHidden/>
          <w:sz w:val="24"/>
          <w:szCs w:val="24"/>
        </w:rPr>
        <w:t>20</w:t>
      </w:r>
      <w:r>
        <w:rPr>
          <w:noProof/>
          <w:webHidden/>
          <w:sz w:val="24"/>
          <w:szCs w:val="24"/>
        </w:rPr>
        <w:fldChar w:fldCharType="end"/>
      </w:r>
      <w:r>
        <w:rPr>
          <w:sz w:val="24"/>
          <w:szCs w:val="24"/>
        </w:rPr>
        <w:fldChar w:fldCharType="end"/>
      </w:r>
    </w:p>
    <w:p>
      <w:pPr>
        <w:pStyle w:val="style19"/>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"_Toc125582528" </w:instrText>
      </w:r>
      <w:r>
        <w:rPr>
          <w:sz w:val="24"/>
          <w:szCs w:val="24"/>
        </w:rPr>
        <w:fldChar w:fldCharType="separate"/>
      </w:r>
      <w:r>
        <w:rPr>
          <w:rStyle w:val="style85"/>
          <w:noProof/>
          <w:sz w:val="24"/>
          <w:szCs w:val="24"/>
        </w:rPr>
        <w:t>CHAPTER THREE:</w:t>
      </w:r>
      <w:r>
        <w:rPr>
          <w:rStyle w:val="style85"/>
          <w:rFonts w:ascii="Times New Roman" w:cs="Times New Roman" w:hAnsi="Times New Roman"/>
          <w:noProof/>
          <w:sz w:val="24"/>
          <w:szCs w:val="24"/>
        </w:rPr>
        <w:t xml:space="preserve"> METHODOLOGY</w:t>
      </w:r>
      <w:r>
        <w:rPr>
          <w:noProof/>
          <w:webHidden/>
          <w:sz w:val="24"/>
          <w:szCs w:val="24"/>
        </w:rPr>
        <w:tab/>
      </w:r>
      <w:r>
        <w:rPr>
          <w:noProof/>
          <w:webHidden/>
          <w:sz w:val="24"/>
          <w:szCs w:val="24"/>
        </w:rPr>
        <w:fldChar w:fldCharType="begin"/>
      </w:r>
      <w:r>
        <w:rPr>
          <w:noProof/>
          <w:webHidden/>
          <w:sz w:val="24"/>
          <w:szCs w:val="24"/>
        </w:rPr>
        <w:instrText xml:space="preserve"> PAGEREF _Toc125582528 \h </w:instrText>
      </w:r>
      <w:r>
        <w:rPr>
          <w:noProof/>
          <w:webHidden/>
          <w:sz w:val="24"/>
          <w:szCs w:val="24"/>
        </w:rPr>
        <w:fldChar w:fldCharType="separate"/>
      </w:r>
      <w:r>
        <w:rPr>
          <w:noProof/>
          <w:webHidden/>
          <w:sz w:val="24"/>
          <w:szCs w:val="24"/>
        </w:rPr>
        <w:t>24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"_Toc125582529" </w:instrText>
      </w:r>
      <w:r>
        <w:rPr>
          <w:sz w:val="24"/>
          <w:szCs w:val="24"/>
        </w:rPr>
        <w:fldChar w:fldCharType="separate"/>
      </w:r>
      <w:r>
        <w:rPr>
          <w:rStyle w:val="style85"/>
          <w:noProof/>
          <w:sz w:val="24"/>
          <w:szCs w:val="24"/>
        </w:rPr>
        <w:t>3.1. Chapter Overview</w:t>
      </w:r>
      <w:r>
        <w:rPr>
          <w:noProof/>
          <w:webHidden/>
          <w:sz w:val="24"/>
          <w:szCs w:val="24"/>
        </w:rPr>
        <w:tab/>
      </w:r>
      <w:r>
        <w:rPr>
          <w:noProof/>
          <w:webHidden/>
          <w:sz w:val="24"/>
          <w:szCs w:val="24"/>
        </w:rPr>
        <w:fldChar w:fldCharType="begin"/>
      </w:r>
      <w:r>
        <w:rPr>
          <w:noProof/>
          <w:webHidden/>
          <w:sz w:val="24"/>
          <w:szCs w:val="24"/>
        </w:rPr>
        <w:instrText xml:space="preserve"> PAGEREF _Toc125582529 \h </w:instrText>
      </w:r>
      <w:r>
        <w:rPr>
          <w:noProof/>
          <w:webHidden/>
          <w:sz w:val="24"/>
          <w:szCs w:val="24"/>
        </w:rPr>
        <w:fldChar w:fldCharType="separate"/>
      </w:r>
      <w:r>
        <w:rPr>
          <w:noProof/>
          <w:webHidden/>
          <w:sz w:val="24"/>
          <w:szCs w:val="24"/>
        </w:rPr>
        <w:t>24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"_Toc125582530" </w:instrText>
      </w:r>
      <w:r>
        <w:rPr>
          <w:sz w:val="24"/>
          <w:szCs w:val="24"/>
        </w:rPr>
        <w:fldChar w:fldCharType="separate"/>
      </w:r>
      <w:r>
        <w:rPr>
          <w:rStyle w:val="style85"/>
          <w:noProof/>
          <w:sz w:val="24"/>
          <w:szCs w:val="24"/>
        </w:rPr>
        <w:t>3.2. Research Design</w:t>
      </w:r>
      <w:r>
        <w:rPr>
          <w:noProof/>
          <w:webHidden/>
          <w:sz w:val="24"/>
          <w:szCs w:val="24"/>
        </w:rPr>
        <w:tab/>
      </w:r>
      <w:r>
        <w:rPr>
          <w:noProof/>
          <w:webHidden/>
          <w:sz w:val="24"/>
          <w:szCs w:val="24"/>
        </w:rPr>
        <w:fldChar w:fldCharType="begin"/>
      </w:r>
      <w:r>
        <w:rPr>
          <w:noProof/>
          <w:webHidden/>
          <w:sz w:val="24"/>
          <w:szCs w:val="24"/>
        </w:rPr>
        <w:instrText xml:space="preserve"> PAGEREF _Toc125582530 \h </w:instrText>
      </w:r>
      <w:r>
        <w:rPr>
          <w:noProof/>
          <w:webHidden/>
          <w:sz w:val="24"/>
          <w:szCs w:val="24"/>
        </w:rPr>
        <w:fldChar w:fldCharType="separate"/>
      </w:r>
      <w:r>
        <w:rPr>
          <w:noProof/>
          <w:webHidden/>
          <w:sz w:val="24"/>
          <w:szCs w:val="24"/>
        </w:rPr>
        <w:t>24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"_Toc125582531" </w:instrText>
      </w:r>
      <w:r>
        <w:rPr>
          <w:sz w:val="24"/>
          <w:szCs w:val="24"/>
        </w:rPr>
        <w:fldChar w:fldCharType="separate"/>
      </w:r>
      <w:r>
        <w:rPr>
          <w:rStyle w:val="style85"/>
          <w:noProof/>
          <w:sz w:val="24"/>
          <w:szCs w:val="24"/>
        </w:rPr>
        <w:t>3.3. Population</w:t>
      </w:r>
      <w:r>
        <w:rPr>
          <w:noProof/>
          <w:webHidden/>
          <w:sz w:val="24"/>
          <w:szCs w:val="24"/>
        </w:rPr>
        <w:tab/>
      </w:r>
      <w:r>
        <w:rPr>
          <w:noProof/>
          <w:webHidden/>
          <w:sz w:val="24"/>
          <w:szCs w:val="24"/>
        </w:rPr>
        <w:fldChar w:fldCharType="begin"/>
      </w:r>
      <w:r>
        <w:rPr>
          <w:noProof/>
          <w:webHidden/>
          <w:sz w:val="24"/>
          <w:szCs w:val="24"/>
        </w:rPr>
        <w:instrText xml:space="preserve"> PAGEREF _Toc125582531 \h </w:instrText>
      </w:r>
      <w:r>
        <w:rPr>
          <w:noProof/>
          <w:webHidden/>
          <w:sz w:val="24"/>
          <w:szCs w:val="24"/>
        </w:rPr>
        <w:fldChar w:fldCharType="separate"/>
      </w:r>
      <w:r>
        <w:rPr>
          <w:noProof/>
          <w:webHidden/>
          <w:sz w:val="24"/>
          <w:szCs w:val="24"/>
        </w:rPr>
        <w:t>24</w:t>
      </w:r>
      <w:r>
        <w:rPr>
          <w:noProof/>
          <w:webHidden/>
          <w:sz w:val="24"/>
          <w:szCs w:val="24"/>
        </w:rPr>
        <w:fldChar w:fldCharType="end"/>
      </w:r>
      <w:r>
        <w:rPr>
          <w:sz w:val="24"/>
          <w:szCs w:val="24"/>
        </w:rPr>
        <w:fldChar w:fldCharType="end"/>
      </w:r>
    </w:p>
    <w:p>
      <w:pPr>
        <w:pStyle w:val="style21"/>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"_Toc125582532" </w:instrText>
      </w:r>
      <w:r>
        <w:rPr>
          <w:sz w:val="24"/>
          <w:szCs w:val="24"/>
        </w:rPr>
        <w:fldChar w:fldCharType="separate"/>
      </w:r>
      <w:r>
        <w:rPr>
          <w:rStyle w:val="style85"/>
          <w:noProof/>
          <w:sz w:val="24"/>
          <w:szCs w:val="24"/>
        </w:rPr>
        <w:t>3.3.1. Sample size</w:t>
      </w:r>
      <w:r>
        <w:rPr>
          <w:noProof/>
          <w:webHidden/>
          <w:sz w:val="24"/>
          <w:szCs w:val="24"/>
        </w:rPr>
        <w:tab/>
      </w:r>
      <w:r>
        <w:rPr>
          <w:noProof/>
          <w:webHidden/>
          <w:sz w:val="24"/>
          <w:szCs w:val="24"/>
        </w:rPr>
        <w:fldChar w:fldCharType="begin"/>
      </w:r>
      <w:r>
        <w:rPr>
          <w:noProof/>
          <w:webHidden/>
          <w:sz w:val="24"/>
          <w:szCs w:val="24"/>
        </w:rPr>
        <w:instrText xml:space="preserve"> PAGEREF _Toc125582532 \h </w:instrText>
      </w:r>
      <w:r>
        <w:rPr>
          <w:noProof/>
          <w:webHidden/>
          <w:sz w:val="24"/>
          <w:szCs w:val="24"/>
        </w:rPr>
        <w:fldChar w:fldCharType="separate"/>
      </w:r>
      <w:r>
        <w:rPr>
          <w:noProof/>
          <w:webHidden/>
          <w:sz w:val="24"/>
          <w:szCs w:val="24"/>
        </w:rPr>
        <w:t>24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"_Toc125582533" </w:instrText>
      </w:r>
      <w:r>
        <w:rPr>
          <w:sz w:val="24"/>
          <w:szCs w:val="24"/>
        </w:rPr>
        <w:fldChar w:fldCharType="separate"/>
      </w:r>
      <w:r>
        <w:rPr>
          <w:rStyle w:val="style85"/>
          <w:noProof/>
          <w:sz w:val="24"/>
          <w:szCs w:val="24"/>
        </w:rPr>
        <w:t>3.4. Sampling method</w:t>
      </w:r>
      <w:r>
        <w:rPr>
          <w:noProof/>
          <w:webHidden/>
          <w:sz w:val="24"/>
          <w:szCs w:val="24"/>
        </w:rPr>
        <w:tab/>
      </w:r>
      <w:r>
        <w:rPr>
          <w:noProof/>
          <w:webHidden/>
          <w:sz w:val="24"/>
          <w:szCs w:val="24"/>
        </w:rPr>
        <w:fldChar w:fldCharType="begin"/>
      </w:r>
      <w:r>
        <w:rPr>
          <w:noProof/>
          <w:webHidden/>
          <w:sz w:val="24"/>
          <w:szCs w:val="24"/>
        </w:rPr>
        <w:instrText xml:space="preserve"> PAGEREF _Toc125582533 \h </w:instrText>
      </w:r>
      <w:r>
        <w:rPr>
          <w:noProof/>
          <w:webHidden/>
          <w:sz w:val="24"/>
          <w:szCs w:val="24"/>
        </w:rPr>
        <w:fldChar w:fldCharType="separate"/>
      </w:r>
      <w:r>
        <w:rPr>
          <w:noProof/>
          <w:webHidden/>
          <w:sz w:val="24"/>
          <w:szCs w:val="24"/>
        </w:rPr>
        <w:t>25</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"_Toc125582534" </w:instrText>
      </w:r>
      <w:r>
        <w:rPr>
          <w:sz w:val="24"/>
          <w:szCs w:val="24"/>
        </w:rPr>
        <w:fldChar w:fldCharType="separate"/>
      </w:r>
      <w:r>
        <w:rPr>
          <w:rStyle w:val="style85"/>
          <w:noProof/>
          <w:sz w:val="24"/>
          <w:szCs w:val="24"/>
        </w:rPr>
        <w:t>3.5. Data collection</w:t>
      </w:r>
      <w:r>
        <w:rPr>
          <w:noProof/>
          <w:webHidden/>
          <w:sz w:val="24"/>
          <w:szCs w:val="24"/>
        </w:rPr>
        <w:tab/>
      </w:r>
      <w:r>
        <w:rPr>
          <w:noProof/>
          <w:webHidden/>
          <w:sz w:val="24"/>
          <w:szCs w:val="24"/>
        </w:rPr>
        <w:fldChar w:fldCharType="begin"/>
      </w:r>
      <w:r>
        <w:rPr>
          <w:noProof/>
          <w:webHidden/>
          <w:sz w:val="24"/>
          <w:szCs w:val="24"/>
        </w:rPr>
        <w:instrText xml:space="preserve"> PAGEREF _Toc125582534 \h </w:instrText>
      </w:r>
      <w:r>
        <w:rPr>
          <w:noProof/>
          <w:webHidden/>
          <w:sz w:val="24"/>
          <w:szCs w:val="24"/>
        </w:rPr>
        <w:fldChar w:fldCharType="separate"/>
      </w:r>
      <w:r>
        <w:rPr>
          <w:noProof/>
          <w:webHidden/>
          <w:sz w:val="24"/>
          <w:szCs w:val="24"/>
        </w:rPr>
        <w:t>25</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"_Toc125582535" </w:instrText>
      </w:r>
      <w:r>
        <w:rPr>
          <w:sz w:val="24"/>
          <w:szCs w:val="24"/>
        </w:rPr>
        <w:fldChar w:fldCharType="separate"/>
      </w:r>
      <w:r>
        <w:rPr>
          <w:rStyle w:val="style85"/>
          <w:noProof/>
          <w:sz w:val="24"/>
          <w:szCs w:val="24"/>
        </w:rPr>
        <w:t>3.6. Validity and Reliability</w:t>
      </w:r>
      <w:r>
        <w:rPr>
          <w:noProof/>
          <w:webHidden/>
          <w:sz w:val="24"/>
          <w:szCs w:val="24"/>
        </w:rPr>
        <w:tab/>
      </w:r>
      <w:r>
        <w:rPr>
          <w:noProof/>
          <w:webHidden/>
          <w:sz w:val="24"/>
          <w:szCs w:val="24"/>
        </w:rPr>
        <w:fldChar w:fldCharType="begin"/>
      </w:r>
      <w:r>
        <w:rPr>
          <w:noProof/>
          <w:webHidden/>
          <w:sz w:val="24"/>
          <w:szCs w:val="24"/>
        </w:rPr>
        <w:instrText xml:space="preserve"> PAGEREF _Toc125582535 \h </w:instrText>
      </w:r>
      <w:r>
        <w:rPr>
          <w:noProof/>
          <w:webHidden/>
          <w:sz w:val="24"/>
          <w:szCs w:val="24"/>
        </w:rPr>
        <w:fldChar w:fldCharType="separate"/>
      </w:r>
      <w:r>
        <w:rPr>
          <w:noProof/>
          <w:webHidden/>
          <w:sz w:val="24"/>
          <w:szCs w:val="24"/>
        </w:rPr>
        <w:t>26</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"_Toc125582536" </w:instrText>
      </w:r>
      <w:r>
        <w:rPr>
          <w:sz w:val="24"/>
          <w:szCs w:val="24"/>
        </w:rPr>
        <w:fldChar w:fldCharType="separate"/>
      </w:r>
      <w:r>
        <w:rPr>
          <w:rStyle w:val="style85"/>
          <w:noProof/>
          <w:sz w:val="24"/>
          <w:szCs w:val="24"/>
        </w:rPr>
        <w:t>3.9. Budget</w:t>
      </w:r>
      <w:r>
        <w:rPr>
          <w:noProof/>
          <w:webHidden/>
          <w:sz w:val="24"/>
          <w:szCs w:val="24"/>
        </w:rPr>
        <w:tab/>
      </w:r>
      <w:r>
        <w:rPr>
          <w:noProof/>
          <w:webHidden/>
          <w:sz w:val="24"/>
          <w:szCs w:val="24"/>
        </w:rPr>
        <w:fldChar w:fldCharType="begin"/>
      </w:r>
      <w:r>
        <w:rPr>
          <w:noProof/>
          <w:webHidden/>
          <w:sz w:val="24"/>
          <w:szCs w:val="24"/>
        </w:rPr>
        <w:instrText xml:space="preserve"> PAGEREF _Toc125582536 \h </w:instrText>
      </w:r>
      <w:r>
        <w:rPr>
          <w:noProof/>
          <w:webHidden/>
          <w:sz w:val="24"/>
          <w:szCs w:val="24"/>
        </w:rPr>
        <w:fldChar w:fldCharType="separate"/>
      </w:r>
      <w:r>
        <w:rPr>
          <w:noProof/>
          <w:webHidden/>
          <w:sz w:val="24"/>
          <w:szCs w:val="24"/>
        </w:rPr>
        <w:t>29</w:t>
      </w:r>
      <w:r>
        <w:rPr>
          <w:noProof/>
          <w:webHidden/>
          <w:sz w:val="24"/>
          <w:szCs w:val="24"/>
        </w:rPr>
        <w:fldChar w:fldCharType="end"/>
      </w:r>
      <w:r>
        <w:rPr>
          <w:sz w:val="24"/>
          <w:szCs w:val="24"/>
        </w:rPr>
        <w:fldChar w:fldCharType="end"/>
      </w:r>
    </w:p>
    <w:p>
      <w:pPr>
        <w:pStyle w:val="style19"/>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"_Toc125582537" </w:instrText>
      </w:r>
      <w:r>
        <w:rPr>
          <w:sz w:val="24"/>
          <w:szCs w:val="24"/>
        </w:rPr>
        <w:fldChar w:fldCharType="separate"/>
      </w:r>
      <w:r>
        <w:rPr>
          <w:rStyle w:val="style85"/>
          <w:noProof/>
          <w:sz w:val="24"/>
          <w:szCs w:val="24"/>
        </w:rPr>
        <w:t>Chapter 4: Data processing and analysis</w:t>
      </w:r>
      <w:r>
        <w:rPr>
          <w:noProof/>
          <w:webHidden/>
          <w:sz w:val="24"/>
          <w:szCs w:val="24"/>
        </w:rPr>
        <w:tab/>
      </w:r>
      <w:r>
        <w:rPr>
          <w:noProof/>
          <w:webHidden/>
          <w:sz w:val="24"/>
          <w:szCs w:val="24"/>
        </w:rPr>
        <w:fldChar w:fldCharType="begin"/>
      </w:r>
      <w:r>
        <w:rPr>
          <w:noProof/>
          <w:webHidden/>
          <w:sz w:val="24"/>
          <w:szCs w:val="24"/>
        </w:rPr>
        <w:instrText xml:space="preserve"> PAGEREF _Toc125582537 \h </w:instrText>
      </w:r>
      <w:r>
        <w:rPr>
          <w:noProof/>
          <w:webHidden/>
          <w:sz w:val="24"/>
          <w:szCs w:val="24"/>
        </w:rPr>
        <w:fldChar w:fldCharType="separate"/>
      </w:r>
      <w:r>
        <w:rPr>
          <w:noProof/>
          <w:webHidden/>
          <w:sz w:val="24"/>
          <w:szCs w:val="24"/>
        </w:rPr>
        <w:t>30</w:t>
      </w:r>
      <w:r>
        <w:rPr>
          <w:noProof/>
          <w:webHidden/>
          <w:sz w:val="24"/>
          <w:szCs w:val="24"/>
        </w:rPr>
        <w:fldChar w:fldCharType="end"/>
      </w:r>
      <w:r>
        <w:rPr>
          <w:sz w:val="24"/>
          <w:szCs w:val="24"/>
        </w:rPr>
        <w:fldChar w:fldCharType="end"/>
      </w:r>
    </w:p>
    <w:p>
      <w:pPr>
        <w:pStyle w:val="style19"/>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"_Toc125582538" </w:instrText>
      </w:r>
      <w:r>
        <w:rPr>
          <w:sz w:val="24"/>
          <w:szCs w:val="24"/>
        </w:rPr>
        <w:fldChar w:fldCharType="separate"/>
      </w:r>
      <w:r>
        <w:rPr>
          <w:rStyle w:val="style85"/>
          <w:noProof/>
          <w:sz w:val="24"/>
          <w:szCs w:val="24"/>
        </w:rPr>
        <w:t>CHAPTER 5: DISCUSSION, CONCLUSION AD RECOMMENDATIONS</w:t>
      </w:r>
      <w:r>
        <w:rPr>
          <w:noProof/>
          <w:webHidden/>
          <w:sz w:val="24"/>
          <w:szCs w:val="24"/>
        </w:rPr>
        <w:tab/>
      </w:r>
      <w:r>
        <w:rPr>
          <w:noProof/>
          <w:webHidden/>
          <w:sz w:val="24"/>
          <w:szCs w:val="24"/>
        </w:rPr>
        <w:fldChar w:fldCharType="begin"/>
      </w:r>
      <w:r>
        <w:rPr>
          <w:noProof/>
          <w:webHidden/>
          <w:sz w:val="24"/>
          <w:szCs w:val="24"/>
        </w:rPr>
        <w:instrText xml:space="preserve"> PAGEREF _Toc125582538 \h </w:instrText>
      </w:r>
      <w:r>
        <w:rPr>
          <w:noProof/>
          <w:webHidden/>
          <w:sz w:val="24"/>
          <w:szCs w:val="24"/>
        </w:rPr>
        <w:fldChar w:fldCharType="separate"/>
      </w:r>
      <w:r>
        <w:rPr>
          <w:noProof/>
          <w:webHidden/>
          <w:sz w:val="24"/>
          <w:szCs w:val="24"/>
        </w:rPr>
        <w:t>41</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"_Toc125582539" </w:instrText>
      </w:r>
      <w:r>
        <w:rPr>
          <w:sz w:val="24"/>
          <w:szCs w:val="24"/>
        </w:rPr>
        <w:fldChar w:fldCharType="separate"/>
      </w:r>
      <w:r>
        <w:rPr>
          <w:rStyle w:val="style85"/>
          <w:noProof/>
          <w:sz w:val="24"/>
          <w:szCs w:val="24"/>
        </w:rPr>
        <w:t>5.0 Overview</w:t>
      </w:r>
      <w:r>
        <w:rPr>
          <w:noProof/>
          <w:webHidden/>
          <w:sz w:val="24"/>
          <w:szCs w:val="24"/>
        </w:rPr>
        <w:tab/>
      </w:r>
      <w:r>
        <w:rPr>
          <w:noProof/>
          <w:webHidden/>
          <w:sz w:val="24"/>
          <w:szCs w:val="24"/>
        </w:rPr>
        <w:fldChar w:fldCharType="begin"/>
      </w:r>
      <w:r>
        <w:rPr>
          <w:noProof/>
          <w:webHidden/>
          <w:sz w:val="24"/>
          <w:szCs w:val="24"/>
        </w:rPr>
        <w:instrText xml:space="preserve"> PAGEREF _Toc125582539 \h </w:instrText>
      </w:r>
      <w:r>
        <w:rPr>
          <w:noProof/>
          <w:webHidden/>
          <w:sz w:val="24"/>
          <w:szCs w:val="24"/>
        </w:rPr>
        <w:fldChar w:fldCharType="separate"/>
      </w:r>
      <w:r>
        <w:rPr>
          <w:noProof/>
          <w:webHidden/>
          <w:sz w:val="24"/>
          <w:szCs w:val="24"/>
        </w:rPr>
        <w:t>41</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"_Toc125582540" </w:instrText>
      </w:r>
      <w:r>
        <w:rPr>
          <w:sz w:val="24"/>
          <w:szCs w:val="24"/>
        </w:rPr>
        <w:fldChar w:fldCharType="separate"/>
      </w:r>
      <w:r>
        <w:rPr>
          <w:rStyle w:val="style85"/>
          <w:noProof/>
          <w:sz w:val="24"/>
          <w:szCs w:val="24"/>
        </w:rPr>
        <w:t>5.1 Discussion of the findings</w:t>
      </w:r>
      <w:r>
        <w:rPr>
          <w:noProof/>
          <w:webHidden/>
          <w:sz w:val="24"/>
          <w:szCs w:val="24"/>
        </w:rPr>
        <w:tab/>
      </w:r>
      <w:r>
        <w:rPr>
          <w:noProof/>
          <w:webHidden/>
          <w:sz w:val="24"/>
          <w:szCs w:val="24"/>
        </w:rPr>
        <w:fldChar w:fldCharType="begin"/>
      </w:r>
      <w:r>
        <w:rPr>
          <w:noProof/>
          <w:webHidden/>
          <w:sz w:val="24"/>
          <w:szCs w:val="24"/>
        </w:rPr>
        <w:instrText xml:space="preserve"> PAGEREF _Toc125582540 \h </w:instrText>
      </w:r>
      <w:r>
        <w:rPr>
          <w:noProof/>
          <w:webHidden/>
          <w:sz w:val="24"/>
          <w:szCs w:val="24"/>
        </w:rPr>
        <w:fldChar w:fldCharType="separate"/>
      </w:r>
      <w:r>
        <w:rPr>
          <w:noProof/>
          <w:webHidden/>
          <w:sz w:val="24"/>
          <w:szCs w:val="24"/>
        </w:rPr>
        <w:t>41</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"_Toc125582541" </w:instrText>
      </w:r>
      <w:r>
        <w:rPr>
          <w:sz w:val="24"/>
          <w:szCs w:val="24"/>
        </w:rPr>
        <w:fldChar w:fldCharType="separate"/>
      </w:r>
      <w:r>
        <w:rPr>
          <w:rStyle w:val="style85"/>
          <w:noProof/>
          <w:sz w:val="24"/>
          <w:szCs w:val="24"/>
        </w:rPr>
        <w:t>5.2 Conclusion</w:t>
      </w:r>
      <w:r>
        <w:rPr>
          <w:noProof/>
          <w:webHidden/>
          <w:sz w:val="24"/>
          <w:szCs w:val="24"/>
        </w:rPr>
        <w:tab/>
      </w:r>
      <w:r>
        <w:rPr>
          <w:noProof/>
          <w:webHidden/>
          <w:sz w:val="24"/>
          <w:szCs w:val="24"/>
        </w:rPr>
        <w:fldChar w:fldCharType="begin"/>
      </w:r>
      <w:r>
        <w:rPr>
          <w:noProof/>
          <w:webHidden/>
          <w:sz w:val="24"/>
          <w:szCs w:val="24"/>
        </w:rPr>
        <w:instrText xml:space="preserve"> PAGEREF _Toc125582541 \h </w:instrText>
      </w:r>
      <w:r>
        <w:rPr>
          <w:noProof/>
          <w:webHidden/>
          <w:sz w:val="24"/>
          <w:szCs w:val="24"/>
        </w:rPr>
        <w:fldChar w:fldCharType="separate"/>
      </w:r>
      <w:r>
        <w:rPr>
          <w:noProof/>
          <w:webHidden/>
          <w:sz w:val="24"/>
          <w:szCs w:val="24"/>
        </w:rPr>
        <w:t>44</w:t>
      </w:r>
      <w:r>
        <w:rPr>
          <w:noProof/>
          <w:webHidden/>
          <w:sz w:val="24"/>
          <w:szCs w:val="24"/>
        </w:rPr>
        <w:fldChar w:fldCharType="end"/>
      </w:r>
      <w:r>
        <w:rPr>
          <w:sz w:val="24"/>
          <w:szCs w:val="24"/>
        </w:rPr>
        <w:fldChar w:fldCharType="end"/>
      </w:r>
    </w:p>
    <w:p>
      <w:pPr>
        <w:pStyle w:val="style20"/>
        <w:tabs>
          <w:tab w:val="right" w:leader="dot" w:pos="9350"/>
        </w:tabs>
        <w:spacing w:lineRule="auto" w:line="360"/>
        <w:rPr>
          <w:rFonts w:eastAsia="宋体"/>
          <w:noProof/>
          <w:sz w:val="24"/>
          <w:szCs w:val="24"/>
        </w:rPr>
      </w:pPr>
      <w:r>
        <w:rPr>
          <w:sz w:val="24"/>
          <w:szCs w:val="24"/>
        </w:rPr>
        <w:fldChar w:fldCharType="begin"/>
      </w:r>
      <w:r>
        <w:rPr>
          <w:sz w:val="24"/>
          <w:szCs w:val="24"/>
        </w:rPr>
        <w:instrText xml:space="preserve"> HYPERLINK \l "_Toc125582542" </w:instrText>
      </w:r>
      <w:r>
        <w:rPr>
          <w:sz w:val="24"/>
          <w:szCs w:val="24"/>
        </w:rPr>
        <w:fldChar w:fldCharType="separate"/>
      </w:r>
      <w:r>
        <w:rPr>
          <w:rStyle w:val="style85"/>
          <w:noProof/>
          <w:sz w:val="24"/>
          <w:szCs w:val="24"/>
        </w:rPr>
        <w:t>5.3. Recommendations</w:t>
      </w:r>
      <w:r>
        <w:rPr>
          <w:noProof/>
          <w:webHidden/>
          <w:sz w:val="24"/>
          <w:szCs w:val="24"/>
        </w:rPr>
        <w:tab/>
      </w:r>
      <w:r>
        <w:rPr>
          <w:noProof/>
          <w:webHidden/>
          <w:sz w:val="24"/>
          <w:szCs w:val="24"/>
        </w:rPr>
        <w:fldChar w:fldCharType="begin"/>
      </w:r>
      <w:r>
        <w:rPr>
          <w:noProof/>
          <w:webHidden/>
          <w:sz w:val="24"/>
          <w:szCs w:val="24"/>
        </w:rPr>
        <w:instrText xml:space="preserve"> PAGEREF _Toc125582542 \h </w:instrText>
      </w:r>
      <w:r>
        <w:rPr>
          <w:noProof/>
          <w:webHidden/>
          <w:sz w:val="24"/>
          <w:szCs w:val="24"/>
        </w:rPr>
        <w:fldChar w:fldCharType="separate"/>
      </w:r>
      <w:r>
        <w:rPr>
          <w:noProof/>
          <w:webHidden/>
          <w:sz w:val="24"/>
          <w:szCs w:val="24"/>
        </w:rPr>
        <w:t>45</w:t>
      </w:r>
      <w:r>
        <w:rPr>
          <w:noProof/>
          <w:webHidden/>
          <w:sz w:val="24"/>
          <w:szCs w:val="24"/>
        </w:rPr>
        <w:fldChar w:fldCharType="end"/>
      </w:r>
      <w:r>
        <w:rPr>
          <w:sz w:val="24"/>
          <w:szCs w:val="24"/>
        </w:rPr>
        <w:fldChar w:fldCharType="end"/>
      </w:r>
    </w:p>
    <w:p>
      <w:pPr>
        <w:pStyle w:val="style0"/>
        <w:spacing w:lineRule="auto" w:line="360"/>
        <w:rPr>
          <w:sz w:val="24"/>
          <w:szCs w:val="24"/>
        </w:rPr>
      </w:pPr>
      <w:r>
        <w:rPr>
          <w:b/>
          <w:bCs/>
          <w:noProof/>
          <w:sz w:val="24"/>
          <w:szCs w:val="24"/>
        </w:rPr>
        <w:fldChar w:fldCharType="end"/>
      </w:r>
    </w:p>
    <w:p>
      <w:pPr>
        <w:pStyle w:val="style0"/>
        <w:spacing w:lineRule="auto" w:line="360"/>
        <w:rPr>
          <w:sz w:val="24"/>
          <w:szCs w:val="24"/>
        </w:rPr>
      </w:pPr>
      <w:r>
        <w:rPr>
          <w:sz w:val="24"/>
          <w:szCs w:val="24"/>
        </w:rPr>
        <w:br w:type="page"/>
      </w:r>
    </w:p>
    <w:bookmarkStart w:id="5" w:name="_Toc125582506"/>
    <w:p>
      <w:pPr>
        <w:pStyle w:val="style1"/>
        <w:spacing w:lineRule="auto" w:line="360"/>
        <w:rPr>
          <w:sz w:val="24"/>
          <w:szCs w:val="24"/>
        </w:rPr>
      </w:pPr>
      <w:r>
        <w:rPr>
          <w:sz w:val="24"/>
          <w:szCs w:val="24"/>
        </w:rPr>
        <w:t>CHAPTER ONE: INTRODUCTION</w:t>
      </w:r>
      <w:bookmarkEnd w:id="5"/>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AN ASSESSMENT OF THE IMPACT OF FOOTBALL SPONSORSHIP AS A CORPORATE SOCIAL RESPONSIBILITY (CSR) IN MALAWI: A CASE STUDY OF TELECOMMUNICATION NERTWORK MALAWI(TNM) AND FIRST DISCOUNT HOUSE BANK(FDH) </w:t>
      </w:r>
    </w:p>
    <w:p>
      <w:pPr>
        <w:pStyle w:val="style0"/>
        <w:spacing w:lineRule="auto" w:line="360"/>
        <w:rPr>
          <w:rFonts w:ascii="Times New Roman" w:cs="Times New Roman" w:hAnsi="Times New Roman"/>
          <w:sz w:val="24"/>
          <w:szCs w:val="24"/>
        </w:rPr>
      </w:pPr>
    </w:p>
    <w:bookmarkStart w:id="6" w:name="_Toc125582507"/>
    <w:p>
      <w:pPr>
        <w:pStyle w:val="style2"/>
        <w:spacing w:lineRule="auto" w:line="360"/>
        <w:rPr>
          <w:sz w:val="24"/>
          <w:szCs w:val="24"/>
        </w:rPr>
      </w:pPr>
      <w:r>
        <w:rPr>
          <w:sz w:val="24"/>
          <w:szCs w:val="24"/>
        </w:rPr>
        <w:t>1.1. Background Information</w:t>
      </w:r>
      <w:bookmarkEnd w:id="6"/>
      <w:r>
        <w:rPr>
          <w:sz w:val="24"/>
          <w:szCs w:val="24"/>
        </w:rPr>
        <w:t xml:space="preserve"> </w:t>
      </w:r>
    </w:p>
    <w:p>
      <w:pPr>
        <w:pStyle w:val="style0"/>
        <w:spacing w:lineRule="auto" w:line="360"/>
        <w:rPr>
          <w:sz w:val="24"/>
          <w:szCs w:val="24"/>
        </w:rPr>
      </w:pPr>
      <w:r>
        <w:rPr>
          <w:sz w:val="24"/>
          <w:szCs w:val="24"/>
        </w:rPr>
        <w:t>Corporate Social Responsibility (CSR) is a marketing communication tool that targets the selected individuals. It is done by managers in order to seek public awareness and “also bolster the companies’ images by linking themselves and their products to the events” (Boon &amp; Kurtz, 2012: 20). Corporate means a group of people that work together in a company for profit or non-profit. Social comprises of economic, financial and environmental responsibility to goal attainment. And Responsible means treating stakeholders very well, that is in line with international norms. According to Hopkins (2006), CSR can be defined as a process that is concerned with treating the stakeholders of a company or institution ethically or in a responsible manner. It is deeply rooted in two antecedents of which are Philanthropy (love of humanity) and Paternalism (parental attitude of care and protection to dependents</w:t>
      </w:r>
    </w:p>
    <w:p>
      <w:pPr>
        <w:pStyle w:val="style0"/>
        <w:spacing w:lineRule="auto" w:line="360"/>
        <w:rPr>
          <w:sz w:val="24"/>
          <w:szCs w:val="24"/>
        </w:rPr>
      </w:pPr>
      <w:r>
        <w:rPr>
          <w:sz w:val="24"/>
          <w:szCs w:val="24"/>
        </w:rPr>
        <w:t>CSR as a concept started long time ago during industrial revolution in Europe whereby rich people who were company owners could give free gifts to people as way of appreciation. This helped to build a good relationship with the community members, company image and leading to the people eventually embracing ownership of the company.During industrial revolution in United Kingdom, people who acquired more personal wealth through corporations from Andrew Carnegie and John D. Rockefeller to Bill they Gates could provide housing, education and recreation facilities and opportunities for workers in the communities for free (Moon, 2014). During this time CSR was mainly done as a voluntary work.</w:t>
      </w:r>
    </w:p>
    <w:p>
      <w:pPr>
        <w:pStyle w:val="style0"/>
        <w:autoSpaceDE w:val="false"/>
        <w:autoSpaceDN w:val="false"/>
        <w:adjustRightInd w:val="false"/>
        <w:spacing w:after="0" w:lineRule="auto" w:line="360"/>
        <w:jc w:val="both"/>
        <w:rPr>
          <w:rFonts w:ascii="Times New Roman" w:cs="Times New Roman" w:hAnsi="Times New Roman"/>
          <w:sz w:val="24"/>
          <w:szCs w:val="24"/>
        </w:rPr>
      </w:pP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However, nowadays CSR is being practiced as a business strategy. For instance, Adidas and Nike are using it as a tool for “increasing their brand recognition, enhancing image, boosting purchase volume, and increasing popularity with sports fans in demographic segments corresponding to sponsor business goals” (Boone &amp; Kurtz, 2010:19)</w:t>
      </w:r>
    </w:p>
    <w:p>
      <w:pPr>
        <w:pStyle w:val="style0"/>
        <w:spacing w:before="240" w:after="0" w:lineRule="auto" w:line="360"/>
        <w:jc w:val="both"/>
        <w:rPr>
          <w:rFonts w:ascii="Times New Roman" w:cs="Times New Roman" w:eastAsia="Times New Roman" w:hAnsi="Times New Roman"/>
          <w:sz w:val="24"/>
          <w:szCs w:val="24"/>
        </w:rPr>
      </w:pPr>
      <w:r>
        <w:rPr>
          <w:rFonts w:ascii="Times New Roman" w:cs="Times New Roman" w:hAnsi="Times New Roman"/>
          <w:sz w:val="24"/>
          <w:szCs w:val="24"/>
        </w:rPr>
        <w:t>There are many models that are recommended by consultants on the way companies can manage their CSR strategies. “Some of these include the Carrol’s CSR pyramid, the stakeholder model and the triple bottom line approach”.</w:t>
      </w:r>
    </w:p>
    <w:p>
      <w:pPr>
        <w:pStyle w:val="style0"/>
        <w:autoSpaceDE w:val="false"/>
        <w:autoSpaceDN w:val="false"/>
        <w:adjustRightInd w:val="false"/>
        <w:spacing w:before="240" w:lineRule="auto" w:line="360"/>
        <w:jc w:val="both"/>
        <w:rPr>
          <w:rFonts w:ascii="Times New Roman" w:cs="Times New Roman" w:hAnsi="Times New Roman"/>
          <w:sz w:val="24"/>
          <w:szCs w:val="24"/>
        </w:rPr>
      </w:pPr>
      <w:r>
        <w:rPr>
          <w:rFonts w:ascii="Times New Roman" w:cs="Times New Roman" w:hAnsi="Times New Roman"/>
          <w:sz w:val="24"/>
          <w:szCs w:val="24"/>
        </w:rPr>
        <w:t>Locally for companies like Castel formerly known as Carlsberg which is an international company have been sponsoring in Football leagues at both international and local levels. Despite this, TNM is another corporate sponsor for TNM Super Leagues in Malawi.  TNM which is also one of the major providers of telecommunication services in Malawi besides Airtel Malawi and Malawi Telecommunications Limited (MTL). It offers post and pre-paid airtime, interconnections, handsets, equipment, international incoming and roaming” (Africanfinancials.com/company/mw-tnm/).</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TNM started sponsoring the Super League in 2006. TNM Super League is the top division in Malawi and it is also known as the Malawi Premier Division (</w:t>
      </w:r>
      <w:r>
        <w:rPr>
          <w:sz w:val="24"/>
          <w:szCs w:val="24"/>
        </w:rPr>
        <w:fldChar w:fldCharType="begin"/>
      </w:r>
      <w:r>
        <w:rPr>
          <w:sz w:val="24"/>
          <w:szCs w:val="24"/>
        </w:rPr>
        <w:instrText xml:space="preserve"> HYPERLINK "http://www.rssf.com" </w:instrText>
      </w:r>
      <w:r>
        <w:rPr>
          <w:sz w:val="24"/>
          <w:szCs w:val="24"/>
        </w:rPr>
        <w:fldChar w:fldCharType="separate"/>
      </w:r>
      <w:r>
        <w:rPr>
          <w:rStyle w:val="style85"/>
          <w:rFonts w:ascii="Times New Roman" w:cs="Times New Roman" w:hAnsi="Times New Roman"/>
          <w:color w:val="auto"/>
          <w:sz w:val="24"/>
          <w:szCs w:val="24"/>
        </w:rPr>
        <w:t>www.rssf.com</w:t>
      </w:r>
      <w:r>
        <w:rPr>
          <w:sz w:val="24"/>
          <w:szCs w:val="24"/>
        </w:rPr>
        <w:fldChar w:fldCharType="end"/>
      </w:r>
      <w:r>
        <w:rPr>
          <w:rFonts w:ascii="Times New Roman" w:cs="Times New Roman" w:hAnsi="Times New Roman"/>
          <w:sz w:val="24"/>
          <w:szCs w:val="24"/>
        </w:rPr>
        <w:t>). The league takes place annually with a total budget of MK100, 000,000.00 (One hundred Million kwacha). Under the sponsorship there are 16 Football Clubs (FC) taking part in the competition annually and some of the teams include; Nyasa Big Bullets, Mighty Wanderers, TN Stars, Kamuzu Barracks and Silver strikers (FC). This is a country wide league.</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Furthermore, FDH financial holdings limited which is a diversified investment and financial solutions with interest in Banking, Discount house operations, Forex bureau operations as well as investment management and advisory services in Malawi is also another sponsor of football established in November 2007. The bank started sponsoring football on 3</w:t>
      </w:r>
      <w:r>
        <w:rPr>
          <w:rFonts w:ascii="Times New Roman" w:cs="Times New Roman" w:hAnsi="Times New Roman"/>
          <w:sz w:val="24"/>
          <w:szCs w:val="24"/>
          <w:vertAlign w:val="superscript"/>
        </w:rPr>
        <w:t>rd</w:t>
      </w:r>
      <w:r>
        <w:rPr>
          <w:rFonts w:ascii="Times New Roman" w:cs="Times New Roman" w:hAnsi="Times New Roman"/>
          <w:sz w:val="24"/>
          <w:szCs w:val="24"/>
        </w:rPr>
        <w:t xml:space="preserve"> August 2016 where it had agreement with and signed a sponsorship deal with Football Association of Malawi worth K30 million per year. FDH has a robust CSR portfolio targeted at supporting social-economic growth focusing on enabling different sectors sports inclusive. </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Among its CSR strategies FDH sponsors FDH league which started on 29</w:t>
      </w:r>
      <w:r>
        <w:rPr>
          <w:rFonts w:ascii="Times New Roman" w:cs="Times New Roman" w:hAnsi="Times New Roman"/>
          <w:sz w:val="24"/>
          <w:szCs w:val="24"/>
          <w:vertAlign w:val="superscript"/>
        </w:rPr>
        <w:t>th</w:t>
      </w:r>
      <w:r>
        <w:rPr>
          <w:rFonts w:ascii="Times New Roman" w:cs="Times New Roman" w:hAnsi="Times New Roman"/>
          <w:sz w:val="24"/>
          <w:szCs w:val="24"/>
        </w:rPr>
        <w:t xml:space="preserve"> May 2021, it is an annual league, and just like the TNM super league there also 16 teams from the super league and 62 teams from the regional associations which are participating in the league. Some of the teams include Mighty wanderers, Silver strikers, Ekwendeni Hummers and Rumphi united and these are also the teams which have qualified to the semi-finals after winning all the games in the first quarter of the super league. Therefore, TNM and FDH sponsorships will build mutual understanding and awareness with the public and bolster their images hence CSR.</w:t>
      </w:r>
    </w:p>
    <w:p>
      <w:pPr>
        <w:pStyle w:val="style2"/>
        <w:spacing w:lineRule="auto" w:line="360"/>
        <w:rPr>
          <w:sz w:val="24"/>
          <w:szCs w:val="24"/>
        </w:rPr>
      </w:pPr>
    </w:p>
    <w:bookmarkStart w:id="7" w:name="_Toc125582508"/>
    <w:p>
      <w:pPr>
        <w:pStyle w:val="style2"/>
        <w:spacing w:lineRule="auto" w:line="360"/>
        <w:rPr>
          <w:b/>
          <w:sz w:val="24"/>
          <w:szCs w:val="24"/>
        </w:rPr>
      </w:pPr>
      <w:r>
        <w:rPr>
          <w:b/>
          <w:sz w:val="24"/>
          <w:szCs w:val="24"/>
        </w:rPr>
        <w:t>1.2. The Statement of the Problem</w:t>
      </w:r>
      <w:bookmarkEnd w:id="7"/>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Commercial companies do not operate in a vacuum rather; they operate in a society where there are people from whom they draw customers. As such, the companies need to take care of the community they strive to make profits hence the need for CSR. However,one question that remain unanswered is  whether every time TNM and FDH sponsors the football events, the organization also manages to retain supporters to the brand and enter into a relationship marketing. According to Nufer (2006), relationship marketing is achieved when a close, personal and long-term customer relation is created with a company. Therefore, this study is meant to assess the role of CSR on customer retention for TNM and FDH sponsored League.</w:t>
      </w:r>
    </w:p>
    <w:bookmarkStart w:id="8" w:name="_Toc125582509"/>
    <w:p>
      <w:pPr>
        <w:pStyle w:val="style2"/>
        <w:spacing w:lineRule="auto" w:line="360"/>
        <w:rPr>
          <w:sz w:val="24"/>
          <w:szCs w:val="24"/>
        </w:rPr>
      </w:pPr>
      <w:r>
        <w:rPr>
          <w:sz w:val="24"/>
          <w:szCs w:val="24"/>
        </w:rPr>
        <w:t>1.3. Significance of the study</w:t>
      </w:r>
      <w:bookmarkEnd w:id="8"/>
    </w:p>
    <w:p>
      <w:pPr>
        <w:pStyle w:val="style0"/>
        <w:spacing w:before="240" w:lineRule="auto" w:line="360"/>
        <w:jc w:val="both"/>
        <w:rPr>
          <w:rFonts w:ascii="Times New Roman" w:cs="Times New Roman" w:hAnsi="Times New Roman"/>
          <w:sz w:val="24"/>
          <w:szCs w:val="24"/>
        </w:rPr>
      </w:pPr>
      <w:r>
        <w:rPr>
          <w:rFonts w:ascii="Times New Roman" w:cs="Times New Roman" w:hAnsi="Times New Roman"/>
          <w:sz w:val="24"/>
          <w:szCs w:val="24"/>
        </w:rPr>
        <w:t>The study is meant to assess the impact of football sponsorships on customer retention as a Corporate Social Responsibility strategy through the sponsorship of super leagues by TNM and FDH. This is where football fans (customers) experience is attained and at the same time TNM and FDH achieving its commercial objectives hence gaining a competitive edge on the market.</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Football sponsorships fosters the competitiveness of the game and creates additional value for its stakeholders and also it is important for TNM and FDH to know the level of personal attachment of football fans to their brand and whether they bring enjoyment to their lives through CSR practice and this study will help to assess whether football sponsorships contribute to CSR or not and also an increased awareness and integration of CSR into football fosters the competitiveness of the game and creates additional value</w:t>
      </w:r>
    </w:p>
    <w:p>
      <w:pPr>
        <w:pStyle w:val="style0"/>
        <w:spacing w:after="0" w:lineRule="auto" w:line="360"/>
        <w:jc w:val="both"/>
        <w:rPr>
          <w:rFonts w:ascii="Times New Roman" w:cs="Times New Roman" w:hAnsi="Times New Roman"/>
          <w:sz w:val="24"/>
          <w:szCs w:val="24"/>
        </w:rPr>
      </w:pPr>
    </w:p>
    <w:bookmarkStart w:id="9" w:name="_Toc125582510"/>
    <w:p>
      <w:pPr>
        <w:pStyle w:val="style2"/>
        <w:spacing w:lineRule="auto" w:line="360"/>
        <w:rPr>
          <w:sz w:val="24"/>
          <w:szCs w:val="24"/>
        </w:rPr>
      </w:pPr>
      <w:r>
        <w:rPr>
          <w:sz w:val="24"/>
          <w:szCs w:val="24"/>
        </w:rPr>
        <w:t>1.4. Research Questions</w:t>
      </w:r>
      <w:bookmarkEnd w:id="9"/>
    </w:p>
    <w:p>
      <w:pPr>
        <w:pStyle w:val="style0"/>
        <w:numPr>
          <w:ilvl w:val="0"/>
          <w:numId w:val="1"/>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To what extent does sponsorship of football lead to football fans recognizing TNM and   </w:t>
      </w:r>
    </w:p>
    <w:p>
      <w:pPr>
        <w:pStyle w:val="style0"/>
        <w:spacing w:lineRule="auto" w:line="360"/>
        <w:ind w:left="960"/>
        <w:jc w:val="both"/>
        <w:contextualSpacing/>
        <w:rPr>
          <w:rFonts w:ascii="Times New Roman" w:cs="Times New Roman" w:hAnsi="Times New Roman"/>
          <w:sz w:val="24"/>
          <w:szCs w:val="24"/>
        </w:rPr>
      </w:pPr>
      <w:r>
        <w:rPr>
          <w:rFonts w:ascii="Times New Roman" w:cs="Times New Roman" w:hAnsi="Times New Roman"/>
          <w:sz w:val="24"/>
          <w:szCs w:val="24"/>
        </w:rPr>
        <w:t>FDH as unsurpassed brands?</w:t>
      </w:r>
    </w:p>
    <w:p>
      <w:pPr>
        <w:pStyle w:val="style0"/>
        <w:spacing w:lineRule="auto" w:line="360"/>
        <w:ind w:left="600"/>
        <w:jc w:val="both"/>
        <w:rPr>
          <w:rFonts w:ascii="Times New Roman" w:cs="Times New Roman" w:hAnsi="Times New Roman"/>
          <w:sz w:val="24"/>
          <w:szCs w:val="24"/>
        </w:rPr>
      </w:pPr>
      <w:r>
        <w:rPr>
          <w:rFonts w:ascii="Times New Roman" w:cs="Times New Roman" w:hAnsi="Times New Roman"/>
          <w:sz w:val="24"/>
          <w:szCs w:val="24"/>
        </w:rPr>
        <w:t xml:space="preserve">2.   What attitude do supporters have towards the sponsor (TNM and FDH brands) in relation     </w:t>
      </w:r>
    </w:p>
    <w:p>
      <w:pPr>
        <w:pStyle w:val="style0"/>
        <w:spacing w:lineRule="auto" w:line="360"/>
        <w:ind w:left="600"/>
        <w:jc w:val="both"/>
        <w:rPr>
          <w:rFonts w:ascii="Times New Roman" w:cs="Times New Roman" w:hAnsi="Times New Roman"/>
          <w:sz w:val="24"/>
          <w:szCs w:val="24"/>
        </w:rPr>
      </w:pPr>
      <w:r>
        <w:rPr>
          <w:rFonts w:ascii="Times New Roman" w:cs="Times New Roman" w:hAnsi="Times New Roman"/>
          <w:sz w:val="24"/>
          <w:szCs w:val="24"/>
        </w:rPr>
        <w:t xml:space="preserve">      to football sponsorship of the TNM and FDH super Leagues respectively.</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3.  Do football fans have high level of attachment to TNM and FDH services in relation to  </w:t>
      </w:r>
    </w:p>
    <w:bookmarkStart w:id="10" w:name="_Toc125582511"/>
    <w:p>
      <w:pPr>
        <w:pStyle w:val="style2"/>
        <w:spacing w:after="240" w:lineRule="auto" w:line="360"/>
        <w:rPr>
          <w:rFonts w:ascii="Times New Roman" w:cs="Times New Roman" w:hAnsi="Times New Roman"/>
          <w:b/>
          <w:color w:val="auto"/>
          <w:sz w:val="24"/>
          <w:szCs w:val="24"/>
        </w:rPr>
      </w:pPr>
      <w:r>
        <w:rPr>
          <w:rFonts w:ascii="Times New Roman" w:cs="Times New Roman" w:hAnsi="Times New Roman"/>
          <w:b/>
          <w:color w:val="auto"/>
          <w:sz w:val="24"/>
          <w:szCs w:val="24"/>
        </w:rPr>
        <w:t>1.4.1. Objectives of the study</w:t>
      </w:r>
      <w:bookmarkEnd w:id="10"/>
    </w:p>
    <w:bookmarkStart w:id="11" w:name="_Toc125582512"/>
    <w:p>
      <w:pPr>
        <w:pStyle w:val="style2"/>
        <w:spacing w:after="240" w:lineRule="auto" w:line="360"/>
        <w:rPr>
          <w:rFonts w:ascii="Times New Roman" w:cs="Times New Roman" w:hAnsi="Times New Roman"/>
          <w:b/>
          <w:color w:val="auto"/>
          <w:sz w:val="24"/>
          <w:szCs w:val="24"/>
        </w:rPr>
      </w:pPr>
      <w:r>
        <w:rPr>
          <w:rFonts w:ascii="Times New Roman" w:cs="Times New Roman" w:hAnsi="Times New Roman"/>
          <w:b/>
          <w:color w:val="auto"/>
          <w:sz w:val="24"/>
          <w:szCs w:val="24"/>
        </w:rPr>
        <w:t>1.4.2 General objective</w:t>
      </w:r>
      <w:bookmarkEnd w:id="11"/>
    </w:p>
    <w:p>
      <w:pPr>
        <w:pStyle w:val="style0"/>
        <w:spacing w:lineRule="auto" w:line="360"/>
        <w:rPr>
          <w:b/>
          <w:sz w:val="24"/>
          <w:szCs w:val="24"/>
        </w:rPr>
      </w:pPr>
      <w:r>
        <w:rPr>
          <w:sz w:val="24"/>
          <w:szCs w:val="24"/>
        </w:rPr>
        <w:t>The aim of the study is to understand the effectiveness of Corporate Social Responsibility on customer retention as TNM and FDH links itself to the football league sponsorships.</w:t>
      </w:r>
    </w:p>
    <w:bookmarkStart w:id="12" w:name="_Toc125582513"/>
    <w:p>
      <w:pPr>
        <w:pStyle w:val="style3"/>
        <w:spacing w:lineRule="auto" w:line="360"/>
        <w:rPr>
          <w:rFonts w:ascii="Times New Roman" w:cs="Times New Roman" w:hAnsi="Times New Roman"/>
          <w:b/>
          <w:color w:val="auto"/>
          <w:sz w:val="24"/>
          <w:szCs w:val="24"/>
        </w:rPr>
      </w:pPr>
      <w:r>
        <w:rPr>
          <w:rFonts w:ascii="Times New Roman" w:cs="Times New Roman" w:hAnsi="Times New Roman"/>
          <w:b/>
          <w:color w:val="auto"/>
          <w:sz w:val="24"/>
          <w:szCs w:val="24"/>
        </w:rPr>
        <w:t>1.4.3 Specific Objective</w:t>
      </w:r>
      <w:bookmarkEnd w:id="12"/>
    </w:p>
    <w:p>
      <w:pPr>
        <w:pStyle w:val="style179"/>
        <w:numPr>
          <w:ilvl w:val="0"/>
          <w:numId w:val="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To find out the extent to which football sponsorship increases TNM and FDH brands visibility among football fans in Malawi.</w:t>
      </w:r>
    </w:p>
    <w:p>
      <w:pPr>
        <w:pStyle w:val="style179"/>
        <w:numPr>
          <w:ilvl w:val="0"/>
          <w:numId w:val="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To examine the attitude of supporters towards the sponsor (TNMand FDH brands) in relation to football sponsorship of the TNM and FDH Super Leagues.</w:t>
      </w:r>
    </w:p>
    <w:p>
      <w:pPr>
        <w:pStyle w:val="style179"/>
        <w:numPr>
          <w:ilvl w:val="0"/>
          <w:numId w:val="2"/>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To establish the football fans’ level of attachment to TNM and FDH services in relation to sponsorship of the leagues.</w:t>
      </w:r>
    </w:p>
    <w:bookmarkStart w:id="13" w:name="_Toc125582514"/>
    <w:p>
      <w:pPr>
        <w:pStyle w:val="style2"/>
        <w:numPr>
          <w:ilvl w:val="1"/>
          <w:numId w:val="10"/>
        </w:numPr>
        <w:spacing w:lineRule="auto" w:line="360"/>
        <w:rPr>
          <w:sz w:val="24"/>
          <w:szCs w:val="24"/>
        </w:rPr>
      </w:pPr>
      <w:r>
        <w:rPr>
          <w:sz w:val="24"/>
          <w:szCs w:val="24"/>
        </w:rPr>
        <w:t>Limitations of the Study</w:t>
      </w:r>
      <w:bookmarkEnd w:id="13"/>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Data will be collected in Mzuzu which is a small city, I believe that it will not be considered as good presentation of the whole population more especially to football fans who are also royal customers to TNM and FDH brands. </w:t>
      </w:r>
    </w:p>
    <w:p>
      <w:pPr>
        <w:pStyle w:val="style0"/>
        <w:autoSpaceDE w:val="false"/>
        <w:autoSpaceDN w:val="false"/>
        <w:adjustRightInd w:val="false"/>
        <w:spacing w:before="240" w:after="0" w:lineRule="auto" w:line="360"/>
        <w:jc w:val="both"/>
        <w:rPr>
          <w:rFonts w:ascii="Times New Roman" w:cs="Times New Roman" w:hAnsi="Times New Roman"/>
          <w:b/>
          <w:sz w:val="24"/>
          <w:szCs w:val="24"/>
        </w:rPr>
      </w:pPr>
      <w:r>
        <w:rPr>
          <w:rFonts w:ascii="Times New Roman" w:cs="Times New Roman" w:hAnsi="Times New Roman"/>
          <w:sz w:val="24"/>
          <w:szCs w:val="24"/>
        </w:rPr>
        <w:t>Participants will be selected randomly so the researcher will have limited representation of the required data.Some participantsmay demand money as a motivation to participate and if they can be denied the money, likewise, they cannot participate in the study since the researcher will use face to face interviews and online questionnaires for collecting data. The possibility is that some of the participants do not have smart phones and internet connection, this will be a barrier to online data collection. Also, some of the participants are not royal customers of the companies and cannot be in a position to provide unique information about the companies when participating. There is basically no funding to incentivize the study participants. Besides all these limitations will identify participants from other region and present the questionnaires through online platforms for that it will be a national representation it will also make clear to the participants that it is a voluntarily participation.</w:t>
      </w:r>
    </w:p>
    <w:bookmarkStart w:id="14" w:name="_Toc125582515"/>
    <w:p>
      <w:pPr>
        <w:pStyle w:val="style3"/>
        <w:spacing w:lineRule="auto" w:line="360"/>
        <w:rPr>
          <w:sz w:val="24"/>
          <w:szCs w:val="24"/>
        </w:rPr>
      </w:pPr>
      <w:r>
        <w:rPr>
          <w:sz w:val="24"/>
          <w:szCs w:val="24"/>
        </w:rPr>
        <w:t>1.5.2. The European Commission definition</w:t>
      </w:r>
      <w:bookmarkEnd w:id="14"/>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The European Commission defined CSR as a “concept whereby companies integrate social and environmental concerns in their business operations and in their interaction with their stakeholders on a voluntary basis” (Hopkins, 2012: 2).</w:t>
      </w:r>
    </w:p>
    <w:p>
      <w:pPr>
        <w:pStyle w:val="style0"/>
        <w:autoSpaceDE w:val="false"/>
        <w:autoSpaceDN w:val="false"/>
        <w:adjustRightInd w:val="false"/>
        <w:spacing w:lineRule="auto" w:line="360"/>
        <w:jc w:val="both"/>
        <w:rPr>
          <w:rFonts w:ascii="Times New Roman" w:cs="Times New Roman" w:hAnsi="Times New Roman"/>
          <w:b/>
          <w:bCs/>
          <w:sz w:val="24"/>
          <w:szCs w:val="24"/>
        </w:rPr>
      </w:pPr>
    </w:p>
    <w:bookmarkStart w:id="15" w:name="_Toc125582516"/>
    <w:p>
      <w:pPr>
        <w:pStyle w:val="style3"/>
        <w:spacing w:lineRule="auto" w:line="360"/>
        <w:rPr>
          <w:sz w:val="24"/>
          <w:szCs w:val="24"/>
        </w:rPr>
      </w:pPr>
      <w:r>
        <w:rPr>
          <w:sz w:val="24"/>
          <w:szCs w:val="24"/>
        </w:rPr>
        <w:t>1.5.3. The World Business Council for Sustainable Development (WBCSD)</w:t>
      </w:r>
      <w:bookmarkEnd w:id="15"/>
    </w:p>
    <w:p>
      <w:pPr>
        <w:pStyle w:val="style0"/>
        <w:autoSpaceDE w:val="false"/>
        <w:autoSpaceDN w:val="false"/>
        <w:adjustRightInd w:val="false"/>
        <w:spacing w:lineRule="auto" w:line="360"/>
        <w:jc w:val="both"/>
        <w:rPr>
          <w:rFonts w:ascii="Times New Roman" w:cs="Times New Roman" w:hAnsi="Times New Roman"/>
          <w:b/>
          <w:sz w:val="24"/>
          <w:szCs w:val="24"/>
        </w:rPr>
      </w:pPr>
      <w:r>
        <w:rPr>
          <w:rFonts w:ascii="Times New Roman" w:cs="Times New Roman" w:hAnsi="Times New Roman"/>
          <w:sz w:val="24"/>
          <w:szCs w:val="24"/>
        </w:rPr>
        <w:t>Corporate Social Responsibility is the “continuing commitment by business to behave ethically and contribute to economic development while improving the quality of life of the workforce and their families as well as of the local community and society at large” (WBCSD, as cited in Mzembe, 2012:29).</w:t>
      </w:r>
    </w:p>
    <w:p>
      <w:pPr>
        <w:pStyle w:val="style0"/>
        <w:autoSpaceDE w:val="false"/>
        <w:autoSpaceDN w:val="false"/>
        <w:adjustRightInd w:val="false"/>
        <w:spacing w:lineRule="auto" w:line="360"/>
        <w:jc w:val="both"/>
        <w:rPr>
          <w:rFonts w:ascii="Times New Roman" w:cs="Times New Roman" w:hAnsi="Times New Roman"/>
          <w:sz w:val="24"/>
          <w:szCs w:val="24"/>
        </w:rPr>
      </w:pPr>
      <w:r>
        <w:rPr>
          <w:rFonts w:ascii="Times New Roman" w:cs="Times New Roman" w:hAnsi="Times New Roman"/>
          <w:sz w:val="24"/>
          <w:szCs w:val="24"/>
        </w:rPr>
        <w:t>The fact that these definitions have been brought by many proponents, conflicts do occur in terms of understanding it. Business persons somehow view CSR as business strategy, government official as a charity work and Non-Governmental Organization (NGO) taking CSR as a green sheen (en.wikipedia.org/wiki/Corporate-soc…). However, this study is taking CSR from a business point of view thereby adopting the definition that has been put forward by Michael Hopkins.</w:t>
      </w: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“CSR is about how companies manage the business processes to produce an overall positive impact on society. It encompasses sustainability, social impact and ethics” (Hopkins, 2012: 2).</w:t>
      </w:r>
    </w:p>
    <w:p>
      <w:pPr>
        <w:pStyle w:val="style0"/>
        <w:autoSpaceDE w:val="false"/>
        <w:autoSpaceDN w:val="false"/>
        <w:adjustRightInd w:val="false"/>
        <w:spacing w:after="0" w:lineRule="auto" w:line="360"/>
        <w:jc w:val="both"/>
        <w:rPr>
          <w:rFonts w:ascii="Times New Roman" w:cs="Times New Roman" w:hAnsi="Times New Roman"/>
          <w:sz w:val="24"/>
          <w:szCs w:val="24"/>
        </w:rPr>
      </w:pPr>
    </w:p>
    <w:bookmarkStart w:id="16" w:name="_Toc125582517"/>
    <w:p>
      <w:pPr>
        <w:pStyle w:val="style2"/>
        <w:spacing w:lineRule="auto" w:line="360"/>
        <w:rPr>
          <w:sz w:val="24"/>
          <w:szCs w:val="24"/>
        </w:rPr>
      </w:pPr>
      <w:r>
        <w:rPr>
          <w:sz w:val="24"/>
          <w:szCs w:val="24"/>
        </w:rPr>
        <w:t>1.6THEORETICAL FRAMEWORK</w:t>
      </w:r>
      <w:bookmarkEnd w:id="16"/>
    </w:p>
    <w:bookmarkStart w:id="17" w:name="_Toc125582518"/>
    <w:p>
      <w:pPr>
        <w:pStyle w:val="style3"/>
        <w:spacing w:lineRule="auto" w:line="360"/>
        <w:rPr>
          <w:sz w:val="24"/>
          <w:szCs w:val="24"/>
        </w:rPr>
      </w:pPr>
      <w:r>
        <w:rPr>
          <w:sz w:val="24"/>
          <w:szCs w:val="24"/>
        </w:rPr>
        <w:t>1.6.1Models of CSR</w:t>
      </w:r>
      <w:bookmarkEnd w:id="17"/>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Moon (2014) argues that there are many frameworks that guide companies to manage their CSR strategies. Moon affirms that these frameworks assist them in “thinking about what they may be responsible for, to whom and why. Frameworks also assist companies in managing their organizational systems and resources in order to consistently and coherently implement their CSR policies”. In addition to that, companies get assisted in the external communication of their CSR because of the CSR frameworks.</w:t>
      </w:r>
    </w:p>
    <w:p>
      <w:pPr>
        <w:pStyle w:val="style0"/>
        <w:spacing w:before="240" w:after="0" w:lineRule="auto" w:line="360"/>
        <w:jc w:val="both"/>
        <w:rPr>
          <w:rFonts w:ascii="Times New Roman" w:cs="Times New Roman" w:hAnsi="Times New Roman"/>
          <w:sz w:val="24"/>
          <w:szCs w:val="24"/>
        </w:rPr>
      </w:pPr>
      <w:r>
        <w:rPr>
          <w:rFonts w:ascii="Times New Roman" w:cs="Times New Roman" w:eastAsia="Times New Roman" w:hAnsi="Times New Roman"/>
          <w:sz w:val="24"/>
          <w:szCs w:val="24"/>
        </w:rPr>
        <w:t>The stakeholder model approach</w:t>
      </w:r>
      <w:r>
        <w:rPr>
          <w:rFonts w:ascii="Times New Roman" w:cs="Times New Roman" w:hAnsi="Times New Roman"/>
          <w:sz w:val="24"/>
          <w:szCs w:val="24"/>
        </w:rPr>
        <w:t xml:space="preserve">,this centers on those who have a stake in the organization and are categorized into internal or external stakeholders. There is also a bottom-line model which was developed by John Ellington. This model is characterized by the 3Ps that stand for Profit, People, and Planet” </w:t>
      </w:r>
      <w:r>
        <w:rPr>
          <w:rFonts w:ascii="Times New Roman" w:cs="Times New Roman" w:eastAsia="Times New Roman" w:hAnsi="Times New Roman"/>
          <w:sz w:val="24"/>
          <w:szCs w:val="24"/>
        </w:rPr>
        <w:t xml:space="preserve">(Moon, 2012:20).  </w:t>
      </w:r>
      <w:r>
        <w:rPr>
          <w:rFonts w:ascii="Times New Roman" w:cs="Times New Roman" w:hAnsi="Times New Roman"/>
          <w:sz w:val="24"/>
          <w:szCs w:val="24"/>
        </w:rPr>
        <w:t>Business corporations employ these frameworks when doing their CSR strategy and they are chosen in relation to the company’s target.</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Most of the scholars have concentrated on the role of sponsorship on brand affect, brand trust, brand loyalty, fit, self-congruity, event affect, attitude and customer engagement. The other one which was done in Malawi put much of the emphasis in hospitality industry.  However, little has been said on the retention of customer and this creates a gap in literature. This looks at how customers of the sponsoring companies tend to cling to the companies in need of their services. As the supporters are also customers of the companies, and through sponsoring there are possibilities of enlarging customer base. Through advertisement, the companies can attain new customers, keep the old customers and retain other customers over affiliation to the teams they support. Therefore, the current study is aimed at filling the existing gap on the role of sponsorship on customer retention thereby embracing the triple bottom line model as a study’s framework.</w:t>
      </w:r>
    </w:p>
    <w:p>
      <w:pPr>
        <w:pStyle w:val="style0"/>
        <w:tabs>
          <w:tab w:val="left" w:leader="none" w:pos="3615"/>
        </w:tabs>
        <w:autoSpaceDE w:val="false"/>
        <w:autoSpaceDN w:val="false"/>
        <w:adjustRightInd w:val="false"/>
        <w:spacing w:after="0" w:lineRule="auto" w:line="360"/>
        <w:jc w:val="both"/>
        <w:rPr>
          <w:rFonts w:ascii="Times New Roman" w:cs="Times New Roman" w:hAnsi="Times New Roman"/>
          <w:b/>
          <w:sz w:val="24"/>
          <w:szCs w:val="24"/>
        </w:rPr>
      </w:pPr>
    </w:p>
    <w:p>
      <w:pPr>
        <w:pStyle w:val="style3"/>
        <w:spacing w:lineRule="auto" w:line="360"/>
        <w:rPr>
          <w:sz w:val="24"/>
          <w:szCs w:val="24"/>
        </w:rPr>
      </w:pPr>
      <w:r>
        <w:rPr>
          <w:sz w:val="24"/>
          <w:szCs w:val="24"/>
        </w:rPr>
        <w:t xml:space="preserve"> </w:t>
      </w:r>
      <w:bookmarkStart w:id="18" w:name="_Toc125582519"/>
      <w:r>
        <w:rPr>
          <w:sz w:val="24"/>
          <w:szCs w:val="24"/>
        </w:rPr>
        <w:t>1.6.2 stakeholder approach</w:t>
      </w:r>
      <w:bookmarkEnd w:id="18"/>
    </w:p>
    <w:p>
      <w:pPr>
        <w:pStyle w:val="style0"/>
        <w:autoSpaceDE w:val="false"/>
        <w:autoSpaceDN w:val="false"/>
        <w:adjustRightInd w:val="false"/>
        <w:spacing w:after="0" w:lineRule="auto" w:line="360"/>
        <w:jc w:val="both"/>
        <w:rPr>
          <w:rFonts w:ascii="Times New Roman" w:cs="Times New Roman" w:hAnsi="Times New Roman"/>
          <w:sz w:val="24"/>
          <w:szCs w:val="24"/>
        </w:rPr>
      </w:pP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 stakeholder is any person or organization that has a stake in the operations of a company (Brugha, R,2000). This may direct or indirectly effect on the achievement of an organization’s objectives as such they can be categorize into internal (employees and directors) and external stakeholders (suppliers, creditors, government and society). “As per Edward Freeman’s stakeholder theory (2007), management is responsible for providing a decent return on investment to shareholders as well as responsible for looking after the well-being of broader set of its internal and external stakeholders” (indiacsr.in/stakeholders-approach-t…)                  </w:t>
      </w:r>
    </w:p>
    <w:p>
      <w:pPr>
        <w:pStyle w:val="style0"/>
        <w:autoSpaceDE w:val="false"/>
        <w:autoSpaceDN w:val="false"/>
        <w:adjustRightInd w:val="false"/>
        <w:spacing w:after="0" w:lineRule="auto" w:line="360"/>
        <w:jc w:val="both"/>
        <w:rPr>
          <w:rFonts w:ascii="Times New Roman" w:cs="Times New Roman" w:hAnsi="Times New Roman"/>
          <w:sz w:val="24"/>
          <w:szCs w:val="24"/>
        </w:rPr>
      </w:pPr>
    </w:p>
    <w:bookmarkStart w:id="19" w:name="_Toc125582520"/>
    <w:p>
      <w:pPr>
        <w:pStyle w:val="style3"/>
        <w:spacing w:lineRule="auto" w:line="360"/>
        <w:rPr>
          <w:sz w:val="24"/>
          <w:szCs w:val="24"/>
        </w:rPr>
      </w:pPr>
      <w:r>
        <w:rPr>
          <w:sz w:val="24"/>
          <w:szCs w:val="24"/>
        </w:rPr>
        <w:t>1.6.3 Chapter Summary</w:t>
      </w:r>
      <w:bookmarkEnd w:id="19"/>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This chapter has discussed the background of the study, problem of statement, research objectives, and questions. And have briefly underlined the purpose of the study. Furthermore, research questions on how to answer the objectives and limitations and then lastly theoretical fra</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1"/>
        <w:spacing w:lineRule="auto" w:line="360"/>
        <w:rPr>
          <w:sz w:val="24"/>
          <w:szCs w:val="24"/>
        </w:rPr>
      </w:pPr>
      <w:r>
        <w:rPr>
          <w:sz w:val="24"/>
          <w:szCs w:val="24"/>
        </w:rPr>
        <w:t xml:space="preserve">   </w:t>
      </w:r>
      <w:bookmarkStart w:id="20" w:name="_Toc125582521"/>
      <w:r>
        <w:rPr>
          <w:sz w:val="24"/>
          <w:szCs w:val="24"/>
        </w:rPr>
        <w:t>CHAPTER TWO:  LITERATURE REVIEW</w:t>
      </w:r>
      <w:bookmarkEnd w:id="20"/>
    </w:p>
    <w:p>
      <w:pPr>
        <w:pStyle w:val="style0"/>
        <w:spacing w:after="0" w:lineRule="auto" w:line="360"/>
        <w:jc w:val="both"/>
        <w:rPr>
          <w:rFonts w:ascii="Times New Roman" w:cs="Times New Roman" w:hAnsi="Times New Roman"/>
          <w:b/>
          <w:sz w:val="24"/>
          <w:szCs w:val="24"/>
        </w:rPr>
      </w:pPr>
    </w:p>
    <w:bookmarkStart w:id="21" w:name="_Toc125582522"/>
    <w:p>
      <w:pPr>
        <w:pStyle w:val="style2"/>
        <w:spacing w:lineRule="auto" w:line="360"/>
        <w:rPr>
          <w:sz w:val="24"/>
          <w:szCs w:val="24"/>
        </w:rPr>
      </w:pPr>
      <w:r>
        <w:rPr>
          <w:sz w:val="24"/>
          <w:szCs w:val="24"/>
        </w:rPr>
        <w:t>2.1. CHAPTER OVERVIEW</w:t>
      </w:r>
      <w:bookmarkEnd w:id="21"/>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This chapter presents a review of literature on Corporate Social Responsibility. It also briefly sheds light on what is involved in customer retention. It furthermore presents studies conducted by other scholars from different countries on CSR. The frameworks or models of CSR have also been included under the theoretical framework. </w:t>
      </w:r>
    </w:p>
    <w:bookmarkStart w:id="22" w:name="_Toc125582523"/>
    <w:p>
      <w:pPr>
        <w:pStyle w:val="style2"/>
        <w:spacing w:lineRule="auto" w:line="360"/>
        <w:rPr>
          <w:sz w:val="24"/>
          <w:szCs w:val="24"/>
        </w:rPr>
      </w:pPr>
      <w:r>
        <w:rPr>
          <w:sz w:val="24"/>
          <w:szCs w:val="24"/>
        </w:rPr>
        <w:t>2.2. OVERVIEW OF CUSTOMER RETENTION</w:t>
      </w:r>
      <w:bookmarkEnd w:id="22"/>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“During 1990’s”, companies’ attention was on activities that would help them to gain new customers. “Current development shows a change of this focus” to the maintenance of existing customers. “Customer retention is a term which is very popular and widely used at the moment and most successful companies are doing various activities and methods” in order to retain their customers (Gruber, 2012). Retention is accomplished when a long-lasting relationship is formed between a brand and the customer after their engagement. A consumer becomes a repeat customer who later becomes loyal to that brand of which is the major objective of Customer Relation Management (CRM) strategy in marketing (Nataraj, 2010).</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Therefore, customer retention is simply defined as “the process of executing on a strategy to keep customers from leaving your company (Weir, 2018). McEachern (2019) extended the definition by stating that “customer retention is the collection of activities a business uses to increase the number of repeat customers and to increase the profitability of each existing customer”.</w:t>
      </w:r>
    </w:p>
    <w:p>
      <w:pPr>
        <w:pStyle w:val="style0"/>
        <w:spacing w:after="0" w:lineRule="auto" w:line="360"/>
        <w:jc w:val="both"/>
        <w:rPr>
          <w:rFonts w:ascii="Times New Roman" w:cs="Times New Roman" w:hAnsi="Times New Roman"/>
          <w:b/>
          <w:sz w:val="24"/>
          <w:szCs w:val="24"/>
        </w:rPr>
      </w:pPr>
    </w:p>
    <w:bookmarkStart w:id="23" w:name="_Toc125582524"/>
    <w:p>
      <w:pPr>
        <w:pStyle w:val="style2"/>
        <w:spacing w:lineRule="auto" w:line="360"/>
        <w:rPr>
          <w:sz w:val="24"/>
          <w:szCs w:val="24"/>
        </w:rPr>
      </w:pPr>
      <w:r>
        <w:rPr>
          <w:sz w:val="24"/>
          <w:szCs w:val="24"/>
        </w:rPr>
        <w:t>2.3. EMPERICAL STUDIES ON CSR</w:t>
      </w:r>
      <w:bookmarkEnd w:id="23"/>
    </w:p>
    <w:p>
      <w:pPr>
        <w:pStyle w:val="style0"/>
        <w:spacing w:after="0" w:lineRule="auto" w:line="360"/>
        <w:jc w:val="both"/>
        <w:rPr>
          <w:rFonts w:ascii="Times New Roman" w:cs="Times New Roman" w:hAnsi="Times New Roman"/>
          <w:b/>
          <w:sz w:val="24"/>
          <w:szCs w:val="24"/>
        </w:rPr>
      </w:pPr>
      <w:r>
        <w:rPr>
          <w:rFonts w:ascii="Times New Roman" w:cs="Times New Roman" w:hAnsi="Times New Roman"/>
          <w:sz w:val="24"/>
          <w:szCs w:val="24"/>
        </w:rPr>
        <w:t xml:space="preserve">Corporate sport sponsorship has been “growing in popularity worldwide over the past several decades, moving from a philosophy of corporate donation (Philanthropy and Paternalism) to a key element of marketing strategy” (Henseler, Wilson, &amp; Westberg, 2011). Moon argues that currently CSR is being done more strategically than by simply making annual philanthropic gifts. This means that when dealing with a community problem, companies do plan, organize and control any activity they undertake hence be engaged with them deeply and the communities be aligned with the company’s core business. This process creates companies’ brand value and gain a competitive advantage in the marketplace. </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Dr. Leah Donlan conducted a research on the “impact of sport sponsorship on customer engagement” in the United Kingdom (UK). She used Telephone interviews with sponsorship managers in the data collection. “A series of telephone interviews were conducted with Sponsorship Managers (or equivalent) in a range of commercial organizations currently involved in sports sponsorship. The semi-structured interviews took place between May and August 2009 and addressed a range of sponsorship-related topics, including objectives, motivations and leverage strategies”. The qualitative interview methodology was used for the purpose of eliciting detailed and context-specific information regarding the sponsorship activities of a range of commercial organizations. “Respondents were chosen based on availability and willingness to take part in the study. A large number of UK-based organizations actively engaged in sponsorship, across a range of industrial sectors, were approached to take part, of which nine agreed to be interviewed”. </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One sponsorship manager responded that he uses sponsorship in order to “drive a very strong brand affinity with customers, both existing and new customers and thereby reduce and drive acquisition”. This view shows that sponsorship is increasingly being used by brands as a way of pursuing customer engagement through building relationships with existing ones. He further extended that he uses unique experience to make customers stay loyal to his company.Donlan then concluded that sponsorship is being employed “to differing degrees by brands as a tool for fostering customer engagement”. So, customers are then taken into a relational level through CSR. </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Similarly, a research by Marc Mazodier and Dwight Merunka was done in Beijing in 2014, China. Mazodier and Merunka did an investigation on whether brand loyalty can be achieved through sponsorship event. They did a repeated direct measure experiment on Adidas and Samsung consumers. Firstly, they selected two brand sponsors for the experiment that provoked similar levels of brand attitude, so they could control for prior brand attitude effects. “The fact that attitudes shift as people receive, evaluate, and integrate stimulus information with their existing attitudes” (Anderson, 1981). In turn, they looked for a pair of equally liked brands with different levels of fit, such that one brand would be perceived, on average, as more congruent with the Olympics than the other. They ran a pretest with 50 students to identify these brands, in which they first asked respondents of the brands which sponsored the 2008 Summer Olympics. McDonald’s, Coca-Cola, Adidas, Samsung, and Visa were recalled as sponsors by more than 30% of the study participants. In a second pretest, again with 50 students, Mazodier and Merunka measured brand affect, brand loyalty, self-congruity, and fit between each of these five brands and the Olympics.</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“Three brands (McDonald’s, Samsung, and Visa) were perceived to offer low fit with the Olympics (M &lt; 3.0 on a five-point scale). Whereas two brands (Coca-Cola and Adidas) provoked perceptions of high fit (M &gt; 3.0). Two brands with similar levels of brand affect were chosen of which were Adidas and Samsung. It showed that consumers equally liked Adidas and Samsung (M = 3.32 and 3.17, respectively; </w:t>
      </w:r>
      <w:r>
        <w:rPr>
          <w:rFonts w:ascii="Times New Roman" w:cs="Times New Roman" w:hAnsi="Times New Roman"/>
          <w:i/>
          <w:iCs/>
          <w:sz w:val="24"/>
          <w:szCs w:val="24"/>
        </w:rPr>
        <w:t xml:space="preserve">p </w:t>
      </w:r>
      <w:r>
        <w:rPr>
          <w:rFonts w:ascii="Times New Roman" w:cs="Times New Roman" w:hAnsi="Times New Roman"/>
          <w:sz w:val="24"/>
          <w:szCs w:val="24"/>
        </w:rPr>
        <w:t xml:space="preserve">&gt; .05). The fit with the Olympics was greater for Adidas than for Samsung (M = 3.16 and 2.88, respectively)” (p.11). Thereafter, a test of the model using Adidas and Samsung was conducted. “Their actual sponsorship of the 2008 Summer Olympics renders the experiment very realistic” (p.11). Therefore, the experiment approximates reality in terms of the event (Summer Olympics), sponsoring brands (Samsung and Adidas), and brand communications (print ads from the sponsors). Consumers of Adidas and Samsung were recruited conveniently through e-mail invitations to approximately 850 potential participants (alumni and students from two French business schools). </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They were asked to participate in a short, anonymous, academic study about marketing and consumer behavior in general and also encouraged to send the e-mail invitation to relatives and friends, to achieve a snowball sampling procedure until 600 customers who were willing to participate were contacted. Four groups were defined: an experimental group designed to reveal effects linked to the Adidas sponsorship, an experimental group designed to reveal Samsung sponsorship effects, a control group to compare Adidas sponsorship effects with participants not exposed to the Adidas sponsorship, and a similar control group for Samsung. Mazodier and Merunka randomly assigned study participants to the two experimental groups (200 for Adidas and 200 for Samsung), leaving 200 participants for the two control groups (100 for Adidas and 100 for Samsung).  “All data were collected online in three sequential steps. First, measures were collected of the concepts that were included in the theoretical model. Second, respondents were shown advertisements for several brands, including the two experimental sponsor brands” (p.14). Third, they measured once more the dependent variables (brand affect, brand trust, and brand loyalty) after participants’ exposure to the sponsors’ ads”.</w:t>
      </w:r>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It was found that 70% of the participants in the experimental groups recalled spontaneously both Adidas and Samsung as Olympic sponsors after their exposure to the slideshows; only 21.5% of the respondents in the control groups did so. The effects of exposure to the Adidas and Samsung sponsorships were tested on the dependent variables (brand affect, brand trust, and brand loyalty) using a repeated measure Analysis of Variance (ANOVA) with one within-subject factor (before and after sponsorship) and one between-subjects factor (experimental versus control group). After noting the convergent validity of the measurements, the scores of the relevant items were summed up to form overall indices of </w:t>
      </w:r>
      <w:r>
        <w:rPr>
          <w:rFonts w:ascii="Times New Roman" w:cs="Times New Roman" w:hAnsi="Times New Roman"/>
          <w:b/>
          <w:sz w:val="24"/>
          <w:szCs w:val="24"/>
        </w:rPr>
        <w:t xml:space="preserve">brand affect, brand trust, brand loyalty, fit, self-congruity, event affect </w:t>
      </w:r>
      <w:r>
        <w:rPr>
          <w:rFonts w:ascii="Times New Roman" w:cs="Times New Roman" w:hAnsi="Times New Roman"/>
          <w:sz w:val="24"/>
          <w:szCs w:val="24"/>
        </w:rPr>
        <w:t>and</w:t>
      </w:r>
      <w:r>
        <w:rPr>
          <w:rFonts w:ascii="Times New Roman" w:cs="Times New Roman" w:hAnsi="Times New Roman"/>
          <w:b/>
          <w:sz w:val="24"/>
          <w:szCs w:val="24"/>
        </w:rPr>
        <w:t xml:space="preserve"> attitude</w:t>
      </w:r>
      <w:r>
        <w:rPr>
          <w:rFonts w:ascii="Times New Roman" w:cs="Times New Roman" w:hAnsi="Times New Roman"/>
          <w:sz w:val="24"/>
          <w:szCs w:val="24"/>
        </w:rPr>
        <w:t xml:space="preserve"> toward sponsorship. “The between-subjects factor (experimental versus control group) interacts with the impact of sponsorship A repeated measures ANOVA with one within-subject factor (before and after sponsorship), conducted only with the control group, shows no significant results for brand affect, trust, or loyalty (</w:t>
      </w:r>
      <w:r>
        <w:rPr>
          <w:rFonts w:ascii="Times New Roman" w:cs="Times New Roman" w:hAnsi="Times New Roman"/>
          <w:i/>
          <w:iCs/>
          <w:sz w:val="24"/>
          <w:szCs w:val="24"/>
        </w:rPr>
        <w:t xml:space="preserve">p </w:t>
      </w:r>
      <w:r>
        <w:rPr>
          <w:rFonts w:ascii="Times New Roman" w:cs="Times New Roman" w:hAnsi="Times New Roman"/>
          <w:sz w:val="24"/>
          <w:szCs w:val="24"/>
        </w:rPr>
        <w:t xml:space="preserve">&gt; .05), whereas the repeated measures ANOVA for the experimental group reveals significant increases in brand affect (F = 6.63, </w:t>
      </w:r>
      <w:r>
        <w:rPr>
          <w:rFonts w:ascii="Times New Roman" w:cs="Times New Roman" w:hAnsi="Times New Roman"/>
          <w:i/>
          <w:iCs/>
          <w:sz w:val="24"/>
          <w:szCs w:val="24"/>
        </w:rPr>
        <w:t xml:space="preserve">p </w:t>
      </w:r>
      <w:r>
        <w:rPr>
          <w:rFonts w:ascii="Times New Roman" w:cs="Times New Roman" w:hAnsi="Times New Roman"/>
          <w:sz w:val="24"/>
          <w:szCs w:val="24"/>
        </w:rPr>
        <w:t xml:space="preserve">&lt; .01), brand trust (F = 128.79; </w:t>
      </w:r>
      <w:r>
        <w:rPr>
          <w:rFonts w:ascii="Times New Roman" w:cs="Times New Roman" w:hAnsi="Times New Roman"/>
          <w:i/>
          <w:iCs/>
          <w:sz w:val="24"/>
          <w:szCs w:val="24"/>
        </w:rPr>
        <w:t xml:space="preserve">p </w:t>
      </w:r>
      <w:r>
        <w:rPr>
          <w:rFonts w:ascii="Times New Roman" w:cs="Times New Roman" w:hAnsi="Times New Roman"/>
          <w:sz w:val="24"/>
          <w:szCs w:val="24"/>
        </w:rPr>
        <w:t xml:space="preserve">= .000), and brand loyalty (F = 24.94; </w:t>
      </w:r>
      <w:r>
        <w:rPr>
          <w:rFonts w:ascii="Times New Roman" w:cs="Times New Roman" w:hAnsi="Times New Roman"/>
          <w:i/>
          <w:iCs/>
          <w:sz w:val="24"/>
          <w:szCs w:val="24"/>
        </w:rPr>
        <w:t xml:space="preserve">p </w:t>
      </w:r>
      <w:r>
        <w:rPr>
          <w:rFonts w:ascii="Times New Roman" w:cs="Times New Roman" w:hAnsi="Times New Roman"/>
          <w:sz w:val="24"/>
          <w:szCs w:val="24"/>
        </w:rPr>
        <w:t xml:space="preserve">= .000)”. </w:t>
      </w:r>
    </w:p>
    <w:p>
      <w:pPr>
        <w:pStyle w:val="style0"/>
        <w:spacing w:before="240" w:after="0" w:lineRule="auto" w:line="360"/>
        <w:jc w:val="both"/>
        <w:rPr>
          <w:rFonts w:ascii="Times New Roman" w:cs="Times New Roman" w:hAnsi="Times New Roman"/>
          <w:b/>
          <w:i/>
          <w:sz w:val="24"/>
          <w:szCs w:val="24"/>
        </w:rPr>
      </w:pPr>
      <w:r>
        <w:rPr>
          <w:rFonts w:ascii="Times New Roman" w:cs="Times New Roman" w:hAnsi="Times New Roman"/>
          <w:sz w:val="24"/>
          <w:szCs w:val="24"/>
        </w:rPr>
        <w:t xml:space="preserve"> No significant differences between the experimental group and the control group (p&gt; .05) was found after comparing the pre-treatment measures of brand affect, trust, loyalty, as expected. “Specifically, for the control and experimental groups, the mean scores are, respectively, 8.89 and 8.91 for brand affect, 7.09 and 7.37 for brand trust, and 6.69 and 6.90 for brand loyalty. After exposure to the sponsorship though, the experimental groups’ mean brand affect rises to 9.41, brand trust to 9.13, and brand loyalty to 8.01 (all differences significant at </w:t>
      </w:r>
      <w:r>
        <w:rPr>
          <w:rFonts w:ascii="Times New Roman" w:cs="Times New Roman" w:hAnsi="Times New Roman"/>
          <w:i/>
          <w:iCs/>
          <w:sz w:val="24"/>
          <w:szCs w:val="24"/>
        </w:rPr>
        <w:t xml:space="preserve">p </w:t>
      </w:r>
      <w:r>
        <w:rPr>
          <w:rFonts w:ascii="Times New Roman" w:cs="Times New Roman" w:hAnsi="Times New Roman"/>
          <w:sz w:val="24"/>
          <w:szCs w:val="24"/>
        </w:rPr>
        <w:t xml:space="preserve">= .01), and there were no significant differences in the control groups” (p.15). Upon looking at these results, it shows that there is a </w:t>
      </w:r>
      <w:r>
        <w:rPr>
          <w:rFonts w:ascii="Times New Roman" w:cs="Times New Roman" w:hAnsi="Times New Roman"/>
          <w:b/>
          <w:i/>
          <w:sz w:val="24"/>
          <w:szCs w:val="24"/>
        </w:rPr>
        <w:t>direct effects of exposure to event sponsorship to brand loyalty.</w:t>
      </w:r>
    </w:p>
    <w:p>
      <w:pPr>
        <w:pStyle w:val="style0"/>
        <w:autoSpaceDE w:val="false"/>
        <w:autoSpaceDN w:val="false"/>
        <w:adjustRightInd w:val="false"/>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CSR took root in Malawi when there was a favorable social-economic and political environment in 2004 (Kayuni&amp;Tambulasi, 2012). Kambalame and De Cleene (2006) study (as cited in Mzembe, 2012) observe that CSR in Malawi has “traditionally tended to be philanthropic in nature, responding to perceived individual community needs in the location where a company tends to operate rather than setting up targeted strategic interventions to improve overall sustainable livelihoods at a country level”. Most of the companies are doing philanthropic activities that are aiming at developing the education and health sectors (Kamanga, 2017). Kayuni and Tambulasi (2012) “further noted that the organizations in Malawi have also acknowledged the importance of CSR to their organizations, especially as a marketing tool and social obligation”.</w:t>
      </w:r>
      <w:bookmarkStart w:id="24" w:name="_Hlk104839902"/>
    </w:p>
    <w:p>
      <w:pPr>
        <w:pStyle w:val="style0"/>
        <w:spacing w:before="240"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This assertion holds to be true in study done by Grace Kamanga from Mzuzu University in 2014 whereby she examined the significance of CSR practices in the Hospitality Industry in Malawi.Thus, Kamanga “targeted the most competitive and well-established hotels in the three main cities of Malawi: Blantyre, Lilongwe and Mzuzu.</w:t>
      </w:r>
    </w:p>
    <w:p>
      <w:pPr>
        <w:pStyle w:val="style4099"/>
        <w:spacing w:lineRule="auto" w:line="360"/>
        <w:jc w:val="both"/>
        <w:rPr>
          <w:color w:val="auto"/>
          <w:sz w:val="24"/>
          <w:szCs w:val="24"/>
        </w:rPr>
      </w:pPr>
      <w:r>
        <w:rPr>
          <w:color w:val="auto"/>
          <w:sz w:val="24"/>
          <w:szCs w:val="24"/>
        </w:rPr>
        <w:t>The findings show that the external factors which are customers and the communities influence most establishments and prompt the companies to engage in any CSR activities. “One participant indicated that customers demand value for money as such they influence service quality hence they need to be considered and prioritized as key stakeholders. As the driving force of business, customers influence the establishments to adopt CSR as a way of attracting and satisfying them over competitors. In a nutshell, according to this study done by Grace Kamanga, it entails that companies practice CSR with an aim of increasing consumer experience.</w:t>
      </w:r>
    </w:p>
    <w:p>
      <w:pPr>
        <w:pStyle w:val="style4099"/>
        <w:spacing w:lineRule="auto" w:line="360"/>
        <w:jc w:val="both"/>
        <w:rPr>
          <w:color w:val="auto"/>
          <w:sz w:val="24"/>
          <w:szCs w:val="24"/>
        </w:rPr>
      </w:pPr>
      <w:r>
        <w:rPr>
          <w:i/>
          <w:color w:val="auto"/>
          <w:sz w:val="24"/>
          <w:szCs w:val="24"/>
        </w:rPr>
        <w:t xml:space="preserve">“Corporate social responsibility is the notion that corporations have an obligation to constituent groups in society other than stockholders and beyond that prescribed by law and union contract.” </w:t>
      </w:r>
      <w:r>
        <w:rPr>
          <w:color w:val="auto"/>
          <w:sz w:val="24"/>
          <w:szCs w:val="24"/>
        </w:rPr>
        <w:t xml:space="preserve">(Thomas M. Jonas, from Carroll, 1999: 284) </w:t>
      </w:r>
    </w:p>
    <w:p>
      <w:pPr>
        <w:pStyle w:val="style2"/>
        <w:spacing w:lineRule="auto" w:line="360"/>
        <w:rPr>
          <w:sz w:val="24"/>
          <w:szCs w:val="24"/>
        </w:rPr>
      </w:pPr>
    </w:p>
    <w:p>
      <w:pPr>
        <w:pStyle w:val="style2"/>
        <w:spacing w:lineRule="auto" w:line="360"/>
        <w:rPr>
          <w:sz w:val="24"/>
          <w:szCs w:val="24"/>
        </w:rPr>
      </w:pPr>
      <w:r>
        <w:rPr>
          <w:b/>
          <w:sz w:val="24"/>
          <w:szCs w:val="24"/>
        </w:rPr>
        <w:t xml:space="preserve"> </w:t>
      </w:r>
      <w:bookmarkStart w:id="25" w:name="_Toc125582525"/>
      <w:r>
        <w:rPr>
          <w:b/>
          <w:sz w:val="24"/>
          <w:szCs w:val="24"/>
        </w:rPr>
        <w:t>2.4. GENERAL EFFECTS OF SPONSORSHIPS</w:t>
      </w:r>
      <w:bookmarkEnd w:id="25"/>
    </w:p>
    <w:p>
      <w:pPr>
        <w:pStyle w:val="style0"/>
        <w:spacing w:after="273" w:lineRule="auto" w:line="360"/>
        <w:jc w:val="both"/>
        <w:rPr>
          <w:rFonts w:ascii="Times New Roman" w:cs="Times New Roman" w:hAnsi="Times New Roman"/>
          <w:sz w:val="24"/>
          <w:szCs w:val="24"/>
        </w:rPr>
      </w:pPr>
      <w:r>
        <w:rPr>
          <w:rFonts w:ascii="Times New Roman" w:cs="Times New Roman" w:hAnsi="Times New Roman"/>
          <w:sz w:val="24"/>
          <w:szCs w:val="24"/>
        </w:rPr>
        <w:t xml:space="preserve">The review of the brand effects includes the impact of sponsorships on the major sponsorship objectives: awareness and image (e.g. Cornwell &amp;Maignan, 1998; Walliser, 2003). In addition, the effect of sponsorships on the intention of consumers to purchase a sponsored product and the threat of ambush marketing activities of competitors will be briefly reviewed. Brand effects are important in the context of discussing the economic value of sponsorship because any share price reaction was thought to be the result of adjustments of expected future sales and profits of a sponsoring firm. These adjustments were based on possible changes in brand values such as awareness, image and purchase intentions as a result of the sponsorship activity (e.g. Farrell &amp; Frame, 1997; Mishra et al., 1997; Miyazaki &amp; Morgan, 2001).     </w:t>
      </w:r>
    </w:p>
    <w:p>
      <w:pPr>
        <w:pStyle w:val="style0"/>
        <w:spacing w:lineRule="auto" w:line="360"/>
        <w:ind w:left="-5"/>
        <w:jc w:val="both"/>
        <w:rPr>
          <w:rFonts w:ascii="Times New Roman" w:cs="Times New Roman" w:hAnsi="Times New Roman"/>
          <w:sz w:val="24"/>
          <w:szCs w:val="24"/>
        </w:rPr>
      </w:pPr>
      <w:r>
        <w:rPr>
          <w:rFonts w:ascii="Times New Roman" w:cs="Times New Roman" w:hAnsi="Times New Roman"/>
          <w:sz w:val="24"/>
          <w:szCs w:val="24"/>
        </w:rPr>
        <w:t xml:space="preserve">In an early study on the effects of commercial sponsorships Meenaghan (2000) argued that communication measures (e.g. awareness levels, image, purchase intention rates) were suitable proxies for assessing sponsorship effectiveness. It seemed difficult if not impossible to link marketing activities like TV commercials or sponsorship programs directly to revenues making it unfeasible to evaluate the effectiveness of such activities based on sales figures. Measuring the communication effectiveness acknowledged that a consumer moved through various stages of the buying process before the actual transaction. Within this buying process, a consumer first learned about the existence of a product (awareness), then formed his personal attitude towards this product (image) and finally decided if to buy the product or not (purchase intention). However, the author also mentioned that these communication effects were linked to the stages in the buying process leading to the actual purchase itself. Therefore, these measures could be considered as a detour for assessing sponsorship effectiveness. </w:t>
      </w:r>
    </w:p>
    <w:p>
      <w:pPr>
        <w:pStyle w:val="style0"/>
        <w:spacing w:after="464" w:lineRule="auto" w:line="360"/>
        <w:ind w:left="173"/>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On awareness, (Crimmins &amp; Horn, 1996). Furthermore, Grohs et al. (2004) analyzed the role of sponsor-sponsee fit (both functional and image related fit) on awareness changes and reported a good match improved awareness levels after a sponsorship. Overall, previous research indicated that sponsorships were instrumental in improving awareness scores for a company or a brand if the sponsorship activity was part of a coordinated and integrated marketing campaign including other advertising vehicles and if there was a close match between sponsor and sponsee.</w:t>
      </w:r>
    </w:p>
    <w:p>
      <w:pPr>
        <w:pStyle w:val="style0"/>
        <w:spacing w:lineRule="auto" w:line="360"/>
        <w:ind w:left="-5"/>
        <w:jc w:val="both"/>
        <w:rPr>
          <w:rFonts w:ascii="Times New Roman" w:cs="Times New Roman" w:hAnsi="Times New Roman"/>
          <w:sz w:val="24"/>
          <w:szCs w:val="24"/>
        </w:rPr>
      </w:pPr>
      <w:r>
        <w:rPr>
          <w:rFonts w:ascii="Times New Roman" w:cs="Times New Roman" w:hAnsi="Times New Roman"/>
          <w:sz w:val="24"/>
          <w:szCs w:val="24"/>
        </w:rPr>
        <w:t>Another research stream dealt with the effect of sponsorships on corporate as well as brand image. Image was generally defined based on Keller (1993) as “perceptions about a brand (a corporation) as reflected by the brand (corporation) associations held in consumer memory. Brand (corporation) associations are informational nodes linked to the brand (corporation) node in memory and contain the meaning of the brand (corporation) for consumers” (Keller, 1993, p. 3, (corporation) added). One objective of sponsorship was to enhance the sponsor’s own image by transferring associations linked to the sponsee (e.g. health, dynamic, success; Grohs et al., 2004). Thus, image transfer was defined as the transfer of attributes from the sponsee to the sponsor itself (Gwinner, 1997). Cornwell &amp;Maignan (1998) and Grohs et al. (2004) reviewed the research on the effects on brand and corporate image and reported evidence for a small but successful image transfer as a result of sponsorships (e.g. Crimmins &amp; Horn, 1996; Otker&amp; Hayes, 1987; Rajaretnam, 1994; Stipp&amp; Schiavone, 1996). However, one study analyzing the corporate image of five sponsors before and after the sponsored event found mixed results varying from a clear image enhancement to a negative image effect and conclude that the success of the image transfer depended on the industry of the sponsor (Javalgi et al., 1994). Previous research has also shown that various factors influenced the image effect. As it was the case for awareness, the image transfer from sponsee to sponsor worked best when the sponsorship activity was integrated with other marketing tools (Crimmins &amp; Horn, 1996; Quester &amp; Thompson, 2001; Stipp&amp; Schiavone, 1996) and for deals with a longer duration (Cornwell et al., 2001). However, Merbold (1989) found that most image effects were only temporary and enhancements gained from sponsorships diminished after the partnership has ended. D’Astous and Bitz (1995) surveyed a sample group about the perceived effect of different sponsorship scenarios on various brand values and reported that the sponsorship nature influenced the effect on corporate image. Philanthropic deals seemed to generate more positive image effects than commercial deals (e.g. sport sponsorship deals). It was argued that philanthropic deals resembled donations for a good cause and created more positive feeling among consumers which they transferred back to the sponsoring firm. Finally, it was stated that a sponsor’s visibility during the sponsored event positively impacted the image transfer (Stip&amp; Schiavone, 1996), but a perceived over-exploitation of sponsorship rights proved to be harmful for image effects, especially for sport sponsorships (Meenaghan&amp; Shipley, 1999).</w:t>
      </w:r>
    </w:p>
    <w:bookmarkStart w:id="26" w:name="_Toc125582526"/>
    <w:p>
      <w:pPr>
        <w:pStyle w:val="style2"/>
        <w:spacing w:lineRule="auto" w:line="360"/>
        <w:rPr>
          <w:sz w:val="24"/>
          <w:szCs w:val="24"/>
        </w:rPr>
      </w:pPr>
      <w:r>
        <w:rPr>
          <w:sz w:val="24"/>
          <w:szCs w:val="24"/>
        </w:rPr>
        <w:t>2.5. STUDIES ABOUT SPONSORINGSPORTS EVENTS</w:t>
      </w:r>
      <w:bookmarkEnd w:id="26"/>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The majority of previous studies examined the wealth effect of sport sponsorship deals for specific sport events. These studies either analyzed deals associated with Olympic Games in specific or with other miscellaneous major sport events in general and will be reviewed hereafter. </w:t>
      </w:r>
    </w:p>
    <w:p>
      <w:pPr>
        <w:pStyle w:val="style0"/>
        <w:spacing w:after="754" w:lineRule="auto" w:line="360"/>
        <w:ind w:left="-5"/>
        <w:jc w:val="both"/>
        <w:rPr>
          <w:rFonts w:ascii="Times New Roman" w:cs="Times New Roman" w:hAnsi="Times New Roman"/>
          <w:sz w:val="24"/>
          <w:szCs w:val="24"/>
        </w:rPr>
      </w:pPr>
      <w:r>
        <w:rPr>
          <w:rFonts w:ascii="Times New Roman" w:cs="Times New Roman" w:hAnsi="Times New Roman"/>
          <w:sz w:val="24"/>
          <w:szCs w:val="24"/>
        </w:rPr>
        <w:t xml:space="preserve">An early study on sponsorship wealth effects analyzed the 1996 Olympic Games (Farrell &amp; Frame, 2000). The aim of this research was to find out what impact the announcement of 1999 Olympic sponsorships had on the firm value of sponsoring firms. It was hypothesized that if corporations strive to maximize firm value, Olympic sponsorship deals must be value enhancing. This wealth maximization hypothesis implied that potential benefits arising from the sponsorship outweigh incurred investments. Positive brand/ corporate image building, awareness increases and ultimately higher sales were considered as the main benefits.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wealth effect of 1999 Olympic Games sponsorship announcements was also investigated by another study (Miyazaki &amp; Morgan, 2001). It was argued that Olympic sponsorships are valuable investments because of the ability to increase brand/ corporate equity by improving the brand/ corporate image.  On the other hand, the high sponsorship fees might offset these benefits. The data set used for analysis (</w:t>
      </w:r>
      <w:r>
        <w:rPr>
          <w:rFonts w:ascii="Times New Roman" w:cs="Times New Roman" w:hAnsi="Times New Roman"/>
          <w:i/>
          <w:sz w:val="24"/>
          <w:szCs w:val="24"/>
        </w:rPr>
        <w:t>n</w:t>
      </w:r>
      <w:r>
        <w:rPr>
          <w:rFonts w:ascii="Times New Roman" w:cs="Times New Roman" w:hAnsi="Times New Roman"/>
          <w:sz w:val="24"/>
          <w:szCs w:val="24"/>
        </w:rPr>
        <w:t xml:space="preserve">=26) was very similar to the one in the previously discussed Farrell and Frame study. It is because of this similarity that the sample also shares the same disadvantages, namely a limited generalization due to the regional focus on the USA and the small sample size. Again, the event study methodology was applied to test for the existence of unexpected returns around the announcement date. Cumulated </w:t>
      </w:r>
      <w:r>
        <w:rPr>
          <w:rFonts w:ascii="Times New Roman" w:cs="Times New Roman" w:hAnsi="Times New Roman"/>
          <w:i/>
          <w:sz w:val="24"/>
          <w:szCs w:val="24"/>
        </w:rPr>
        <w:t xml:space="preserve">ARs </w:t>
      </w:r>
      <w:r>
        <w:rPr>
          <w:rFonts w:ascii="Times New Roman" w:cs="Times New Roman" w:hAnsi="Times New Roman"/>
          <w:sz w:val="24"/>
          <w:szCs w:val="24"/>
        </w:rPr>
        <w:t>(</w:t>
      </w:r>
      <w:r>
        <w:rPr>
          <w:rFonts w:ascii="Times New Roman" w:cs="Times New Roman" w:hAnsi="Times New Roman"/>
          <w:i/>
          <w:sz w:val="24"/>
          <w:szCs w:val="24"/>
        </w:rPr>
        <w:t>CAR</w:t>
      </w:r>
      <w:r>
        <w:rPr>
          <w:rFonts w:ascii="Times New Roman" w:cs="Times New Roman" w:hAnsi="Times New Roman"/>
          <w:sz w:val="24"/>
          <w:szCs w:val="24"/>
        </w:rPr>
        <w:t xml:space="preserve">) for different time windows around the announcement were tested to show the aggregated effect and to account for information leakages or slow stock market reactions. However, the study lacks the analysis for single days, especially the announcement day t=0. The authors reported significant positive </w:t>
      </w:r>
      <w:r>
        <w:rPr>
          <w:rFonts w:ascii="Times New Roman" w:cs="Times New Roman" w:hAnsi="Times New Roman"/>
          <w:i/>
          <w:sz w:val="24"/>
          <w:szCs w:val="24"/>
        </w:rPr>
        <w:t xml:space="preserve">CARs </w:t>
      </w:r>
      <w:r>
        <w:rPr>
          <w:rFonts w:ascii="Times New Roman" w:cs="Times New Roman" w:hAnsi="Times New Roman"/>
          <w:sz w:val="24"/>
          <w:szCs w:val="24"/>
        </w:rPr>
        <w:t>for the windows t=-4 to t=0 (</w:t>
      </w:r>
      <w:r>
        <w:rPr>
          <w:rFonts w:ascii="Times New Roman" w:cs="Times New Roman" w:hAnsi="Times New Roman"/>
          <w:i/>
          <w:sz w:val="24"/>
          <w:szCs w:val="24"/>
        </w:rPr>
        <w:t>CAR</w:t>
      </w:r>
      <w:r>
        <w:rPr>
          <w:rFonts w:ascii="Times New Roman" w:cs="Times New Roman" w:hAnsi="Times New Roman"/>
          <w:sz w:val="24"/>
          <w:szCs w:val="24"/>
        </w:rPr>
        <w:t>=+1.24%) and for t=-3 to t=0 (</w:t>
      </w:r>
      <w:r>
        <w:rPr>
          <w:rFonts w:ascii="Times New Roman" w:cs="Times New Roman" w:hAnsi="Times New Roman"/>
          <w:i/>
          <w:sz w:val="24"/>
          <w:szCs w:val="24"/>
        </w:rPr>
        <w:t>CAR</w:t>
      </w:r>
      <w:r>
        <w:rPr>
          <w:rFonts w:ascii="Times New Roman" w:cs="Times New Roman" w:hAnsi="Times New Roman"/>
          <w:sz w:val="24"/>
          <w:szCs w:val="24"/>
        </w:rPr>
        <w:t xml:space="preserve">=+0.89%). As opposed to Farrell and Frame (1997) who reported a negative wealth effect for the same 1996 Olympic sponsorship announcements, the findings here provide evidence that Olympic sponsorships seem to be value-enhancing investments. The fact that share prices reacted already before the actual announcement day indicates that information about deals already leaked to the market before the official press release. </w:t>
      </w:r>
    </w:p>
    <w:p>
      <w:pPr>
        <w:pStyle w:val="style0"/>
        <w:spacing w:after="541" w:lineRule="auto" w:line="360"/>
        <w:ind w:left="-5"/>
        <w:jc w:val="both"/>
        <w:rPr>
          <w:rFonts w:ascii="Times New Roman" w:cs="Times New Roman" w:hAnsi="Times New Roman"/>
          <w:sz w:val="24"/>
          <w:szCs w:val="24"/>
        </w:rPr>
      </w:pPr>
      <w:r>
        <w:rPr>
          <w:rFonts w:ascii="Times New Roman" w:cs="Times New Roman" w:hAnsi="Times New Roman"/>
          <w:sz w:val="24"/>
          <w:szCs w:val="24"/>
        </w:rPr>
        <w:t>It is interesting to note that Miyazaki and Morgan (2001) neither mentioned nor compared their findings with Farrell and Frame (1997). This is surprising because of the striking similarity of these two studies and the contradictive conclusions. One can only speculate on potential reasons for these inconsistencies. An explanation could be possible differences in the announcement dates that have been researched for each sponsorship deal. However, this is impossible to verify because Miyazaki and Morgan (2001) did not supply announcement dates (Cornwell, Pruitt &amp; Clark, 2005).</w:t>
      </w:r>
    </w:p>
    <w:p>
      <w:pPr>
        <w:pStyle w:val="style0"/>
        <w:spacing w:after="541" w:lineRule="auto" w:line="360"/>
        <w:ind w:left="-5"/>
        <w:jc w:val="both"/>
        <w:rPr>
          <w:rFonts w:ascii="Times New Roman" w:cs="Times New Roman" w:hAnsi="Times New Roman"/>
          <w:sz w:val="24"/>
          <w:szCs w:val="24"/>
        </w:rPr>
      </w:pPr>
      <w:r>
        <w:rPr>
          <w:rFonts w:ascii="Times New Roman" w:cs="Times New Roman" w:hAnsi="Times New Roman"/>
          <w:sz w:val="24"/>
          <w:szCs w:val="24"/>
        </w:rPr>
        <w:t xml:space="preserve">Sports sponsorships provide the image of being healthy, young, energetic, fast and vibrant (Jobber, 2007). By collaborating with sports clubs, the company interacts with a brand that symbolises certain attributes. The audience, customers, clients or the users, will find the sponsor’s logo and other symbols embedded within the event, game, player, etc., and learn to associate the sponsor with the activity. The connection creates symbioses, and further generates stable conditions for cooperation, which will lead to improved revenue (Jobber, 2007).   </w:t>
      </w:r>
    </w:p>
    <w:p>
      <w:pPr>
        <w:pStyle w:val="style0"/>
        <w:spacing w:after="331" w:lineRule="auto" w:line="360"/>
        <w:ind w:right="256"/>
        <w:jc w:val="both"/>
        <w:rPr>
          <w:rFonts w:ascii="Times New Roman" w:cs="Times New Roman" w:hAnsi="Times New Roman"/>
          <w:sz w:val="24"/>
          <w:szCs w:val="24"/>
        </w:rPr>
      </w:pPr>
      <w:r>
        <w:rPr>
          <w:rFonts w:ascii="Times New Roman" w:cs="Times New Roman" w:hAnsi="Times New Roman"/>
          <w:sz w:val="24"/>
          <w:szCs w:val="24"/>
        </w:rPr>
        <w:t xml:space="preserve">According to Jobber (2007) companies need to satisfy their customers by creatively managing their marketing mix in order to have a competitive advantage over others (Jobber, 2007).  </w:t>
      </w:r>
    </w:p>
    <w:p>
      <w:pPr>
        <w:pStyle w:val="style0"/>
        <w:spacing w:after="135" w:lineRule="auto" w:line="360"/>
        <w:ind w:left="10" w:right="241"/>
        <w:jc w:val="both"/>
        <w:rPr>
          <w:rFonts w:ascii="Times New Roman" w:cs="Times New Roman" w:hAnsi="Times New Roman"/>
          <w:sz w:val="24"/>
          <w:szCs w:val="24"/>
        </w:rPr>
      </w:pPr>
      <w:r>
        <w:rPr>
          <w:rFonts w:ascii="Times New Roman" w:cs="Times New Roman" w:hAnsi="Times New Roman"/>
          <w:sz w:val="24"/>
          <w:szCs w:val="24"/>
        </w:rPr>
        <w:t xml:space="preserve">Therefore, companies use sponsorships as a communication channel to reach their general business objective, which is increasing profits within target groups and potential customers. As Fuller, Turner and Karg (2010) continue to state, sponsorship is a marketing tool towards achieving familiarity in a given target audience. This is in contrast to Britcher (2004), who states, together with Jobber, that it opens up opportunities to reach new target groups and new customers (Britcher, 2004; Fuller, Turner and Karg, 2010; Jobber 2007). However, Fuller, Turner and Karg (2010) merely focus on the established segment and overlook the opportunity to use sponsorship to enter into new markets. (Fuller, Turner and Karg, 2010). Burnett, Menon and Smart (1993), Cornwell and Maignan (1998), Fuller, Turner and Karg (2010) and Hinson (2011) analyse the impact of sponsorships in organisations, and how to achieve a successful partnership for the club and the company. </w:t>
      </w:r>
    </w:p>
    <w:p>
      <w:pPr>
        <w:pStyle w:val="style0"/>
        <w:spacing w:after="331" w:lineRule="auto" w:line="360"/>
        <w:ind w:right="256"/>
        <w:jc w:val="both"/>
        <w:rPr>
          <w:rFonts w:ascii="Times New Roman" w:cs="Times New Roman" w:hAnsi="Times New Roman"/>
          <w:sz w:val="24"/>
          <w:szCs w:val="24"/>
        </w:rPr>
      </w:pPr>
      <w:r>
        <w:rPr>
          <w:rFonts w:ascii="Times New Roman" w:cs="Times New Roman" w:hAnsi="Times New Roman"/>
          <w:sz w:val="24"/>
          <w:szCs w:val="24"/>
        </w:rPr>
        <w:t xml:space="preserve">With an appropriate match between sponsor and sport organisation, the sponsor can influence their target group on a global basis, due to the similar vision and mission. This marketing platform is able to effectively penetrate the marketing and promotional mix, and is also an effective method used by companies to achieve their marketing strategies (Burnett, Menon and Smart, 1993; Cornwell and Maignan, 1998; Fuller, Turner and Karg, 2010; Hinson, 2011). </w:t>
      </w:r>
    </w:p>
    <w:p>
      <w:pPr>
        <w:pStyle w:val="style0"/>
        <w:spacing w:after="331" w:lineRule="auto" w:line="360"/>
        <w:ind w:right="256"/>
        <w:jc w:val="both"/>
        <w:rPr>
          <w:rFonts w:ascii="Times New Roman" w:cs="Times New Roman" w:hAnsi="Times New Roman"/>
          <w:sz w:val="24"/>
          <w:szCs w:val="24"/>
        </w:rPr>
      </w:pPr>
      <w:r>
        <w:rPr>
          <w:rFonts w:ascii="Times New Roman" w:cs="Times New Roman" w:hAnsi="Times New Roman"/>
          <w:sz w:val="24"/>
          <w:szCs w:val="24"/>
        </w:rPr>
        <w:t xml:space="preserve">According to Richelieu, Pawlowski and Breuer, (2014), Serra et al. (2009) and Dees, Bennett and Villegas (2008) there is an emotional connection between football clubs and fans, where fans can feel a deep kinship to a specific club, the culture and group of people. Football clubs all have something in common, feelings and emotions, which is unique. It is unbroken and intact relation, and defines the long-term cooperation between football clubs and companies - and companies are likely to become a part of this strong connection between fans and team. Overall, the customer loyalty to the brand will be increased when the company is sponsoring a sports organisation, and the brand will obtain important benefits in terms of awareness (Dees, Bennett and Villegas, 2008; Richelieu, Pawlowski and Breuer, 2014; Serra et al. 2009). </w:t>
      </w:r>
    </w:p>
    <w:p>
      <w:pPr>
        <w:pStyle w:val="style0"/>
        <w:spacing w:after="135" w:lineRule="auto" w:line="360"/>
        <w:ind w:left="10" w:right="241"/>
        <w:jc w:val="both"/>
        <w:rPr>
          <w:rFonts w:ascii="Times New Roman" w:cs="Times New Roman" w:hAnsi="Times New Roman"/>
          <w:sz w:val="24"/>
          <w:szCs w:val="24"/>
        </w:rPr>
      </w:pPr>
    </w:p>
    <w:p>
      <w:pPr>
        <w:pStyle w:val="style0"/>
        <w:spacing w:after="135" w:lineRule="auto" w:line="360"/>
        <w:ind w:left="10" w:right="241"/>
        <w:jc w:val="both"/>
        <w:rPr>
          <w:rFonts w:ascii="Times New Roman" w:cs="Times New Roman" w:hAnsi="Times New Roman"/>
          <w:sz w:val="24"/>
          <w:szCs w:val="24"/>
        </w:rPr>
      </w:pPr>
      <w:r>
        <w:rPr>
          <w:rFonts w:ascii="Times New Roman" w:cs="Times New Roman" w:hAnsi="Times New Roman"/>
          <w:sz w:val="24"/>
          <w:szCs w:val="24"/>
        </w:rPr>
        <w:t xml:space="preserve">A sponsorship is a great way of conducting businesses on a more personal basis in order to create a certain level of goodwill, as Fuller, Turner and Karg (2010) state. This is similar to the reasoning of Serra et al (2009): gaining awareness by sponsoring football teams. Richelieu, Pawlowski and Breuer (2014) and Cornwell and Maignan (1998) are more focused on the commitment between fans, club and companies - with the intention of a long-term cooperation that will gain profit over the long term. (Cornwell and Maignan, 1998; Fuller, Turner and Karg, 2010; Richelieu, Pawlowski and Breuer, 2014; Serra et al., 2009). </w:t>
      </w:r>
    </w:p>
    <w:p>
      <w:pPr>
        <w:pStyle w:val="style0"/>
        <w:spacing w:after="135" w:lineRule="auto" w:line="360"/>
        <w:ind w:left="10" w:right="241"/>
        <w:jc w:val="both"/>
        <w:rPr>
          <w:rFonts w:ascii="Times New Roman" w:cs="Times New Roman" w:hAnsi="Times New Roman"/>
          <w:sz w:val="24"/>
          <w:szCs w:val="24"/>
        </w:rPr>
      </w:pPr>
      <w:r>
        <w:rPr>
          <w:rFonts w:ascii="Times New Roman" w:cs="Times New Roman" w:hAnsi="Times New Roman"/>
          <w:sz w:val="24"/>
          <w:szCs w:val="24"/>
        </w:rPr>
        <w:t xml:space="preserve">In contrast, Urbach (2008) and Burnett, Manon and Smart (1993) describes the importance of establishing strong relationships based on similarly accepted objectives. In order to illustrate that, Urbach (2008) mentions the example, involving MasterCard and FIFA. MasterCard claimed it had the right to future sponsorship, but instead FIFA settled an agreement with VISA, the company’s rival. Because of external problems, which often lead to challenges for the companies and sports organisations, this example almost went to court, but eventually both parties agreed on financial compensation for MasterCard. Urbach (2008) further highlights that the overall objectives for MasterCard were to increase awareness during the FIFA World Cup, one of the biggest sports event worldwide (Burnett, Manon and Smart, 1993; Urbach, 2008).  </w:t>
      </w:r>
    </w:p>
    <w:p>
      <w:pPr>
        <w:pStyle w:val="style0"/>
        <w:spacing w:after="135" w:lineRule="auto" w:line="360"/>
        <w:ind w:right="241"/>
        <w:jc w:val="both"/>
        <w:rPr>
          <w:rFonts w:ascii="Times New Roman" w:cs="Times New Roman" w:hAnsi="Times New Roman"/>
          <w:sz w:val="24"/>
          <w:szCs w:val="24"/>
        </w:rPr>
      </w:pPr>
      <w:r>
        <w:rPr>
          <w:rFonts w:ascii="Times New Roman" w:cs="Times New Roman" w:hAnsi="Times New Roman"/>
          <w:sz w:val="24"/>
          <w:szCs w:val="24"/>
        </w:rPr>
        <w:t xml:space="preserve">Companies can also suffer from sponsorships. Red Bull bought the local football club in Leipzig, and renamed the club to RB Leipzig, which has made German fans furious and caused them to boycott their stadium. Germans clubs have to be majority-owned by the fans, and, since Red Bull became interested in managing the club, it “arbitrarily rejects membership applications: whereas Bayern Munich has 270,000 members, RB Leipzig has only 636” (Economist, 2016, p. 1). Additional Backhaus, David &amp;Haselhoff (2014) elaborates on the topic and states sponsorships can have strong negative emotional effects on fans, and establish resistance to sponsors. (Backhaus, David &amp;Haselhoff, 2014; Economist, 2016).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As mentioned, sponsorship does not guarantee positive brand awareness, resulting in sponsorships affecting the brand image negatively, which also direct change consumer behaviour and attitude. David Ornstein (2014) states that the episode with Nicolas Anelka - his anti-Semitic ‘aquelle’ salute at his former football.</w:t>
      </w:r>
    </w:p>
    <w:p>
      <w:pPr>
        <w:pStyle w:val="style0"/>
        <w:spacing w:lineRule="auto" w:line="360"/>
        <w:jc w:val="both"/>
        <w:rPr>
          <w:rFonts w:ascii="Times New Roman" w:cs="Times New Roman" w:hAnsi="Times New Roman"/>
          <w:sz w:val="24"/>
          <w:szCs w:val="24"/>
        </w:rPr>
      </w:pPr>
    </w:p>
    <w:bookmarkStart w:id="27" w:name="_Toc125582527"/>
    <w:p>
      <w:pPr>
        <w:pStyle w:val="style2"/>
        <w:spacing w:lineRule="auto" w:line="360"/>
        <w:rPr>
          <w:sz w:val="24"/>
          <w:szCs w:val="24"/>
        </w:rPr>
      </w:pPr>
      <w:r>
        <w:rPr>
          <w:sz w:val="24"/>
          <w:szCs w:val="24"/>
        </w:rPr>
        <w:t>2.6. CORPORATE SOCIAL RESPONSIBILITY IN SPORTS CONTEXT</w:t>
      </w:r>
      <w:bookmarkEnd w:id="27"/>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 The issue of CSR in sports is a good one. As sports become an increasingly prominent economic and social institution across the globe, the question of what social responsibilities athletes, coaches, team owners, league officials, and global sport organizations’ personnel have, should constantly be asked (Godfrey, 2009). While as recently as 15 years ago, CSR did not play a significant role in sport (Kott, 2005; Robinson, 2005), professional sport organizations are now entering into socially responsible initiatives at a rapid pace. A variety of factors have led to the growing importance of CSR for sport organizations (Lau, Makhanya, &amp;Trengrouse, 2004).  </w:t>
      </w:r>
    </w:p>
    <w:p>
      <w:pPr>
        <w:pStyle w:val="style0"/>
        <w:spacing w:after="0"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Firstly, the omnipresence of sport has led to the elevation of sport organizations as influential members of the global community, especially as they have become big businesses themselves. Secondly, sport organizations are facing a consuming public that is increasingly aware of the social aspects of corporate policy, due to the notoriety given to recent corporate misdeeds. As a result virtually all organizations within the sport industry, broadly defined, have adopted CSR programs. From Nike and Reebok to the NBA and NASCAR, examples abound of activities undertaken to bring messages and resources to underprivileged and other members of society who may not otherwise be the targets of socially responsible initiatives.  For example, (FIFA) has created a CSR unit and spends more than 40% of its income to support the grassroots of the game; development work, and partnerships with relief organizations” (FIFA, 2004, p. 66). Adidas Group has launched two new corporate responsibility publications which cover working conditions, the environment, community affairs, and employee programs (adidas Group, 2008). Nike’s Fair Labor Standards Act promotes sound worldwide labor practices. The NFL and NBA’s partnerships with the United Way and Read to Achieve, respectively, are just two of the many humanitarian and educational initiatives that sport leagues are involved with.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“We have just two missions at the NBA,” says Commissioner David Stern, “. . . the most immediate is to be a successful league. But the other is to use our strength for social responsibility” (Genzale, 2006, p. 34). In football</w:t>
      </w:r>
      <w:r>
        <w:rPr>
          <w:rFonts w:ascii="Times New Roman" w:cs="Times New Roman" w:hAnsi="Times New Roman"/>
          <w:b/>
          <w:sz w:val="24"/>
          <w:szCs w:val="24"/>
        </w:rPr>
        <w:t>,</w:t>
      </w:r>
      <w:r>
        <w:rPr>
          <w:rFonts w:ascii="Times New Roman" w:cs="Times New Roman" w:hAnsi="Times New Roman"/>
          <w:sz w:val="24"/>
          <w:szCs w:val="24"/>
        </w:rPr>
        <w:t xml:space="preserve"> consulting firm Deloitte and Touche (2005, quoted in Holt, Michie, Oughton, Tacon&amp; Walters, 2005) has recommended that football clubs integrate CSR management to insure healthy relationships with their communities.  </w:t>
      </w:r>
    </w:p>
    <w:p>
      <w:pPr>
        <w:pStyle w:val="style0"/>
        <w:spacing w:after="0"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Overall, team CSR activities include, but are not limited to: athlete volunteerism, educational initiatives, philanthropic/charitable donations, community development, community initiatives, fan appreciation, health-related initiatives, and community-based environmental programs. Walker &amp; Kent (2009) propose that CSR activities for professional sport teams include four categories: philanthropy; community involvement; youth educational initiatives, and youth health initiatives. </w:t>
      </w:r>
    </w:p>
    <w:p>
      <w:pPr>
        <w:pStyle w:val="style0"/>
        <w:spacing w:after="129" w:lineRule="auto" w:line="360"/>
        <w:ind w:left="24" w:right="-15" w:hanging="10"/>
        <w:jc w:val="both"/>
        <w:rPr>
          <w:rFonts w:ascii="Times New Roman" w:cs="Times New Roman" w:eastAsia="Calibri" w:hAnsi="Times New Roman"/>
          <w:sz w:val="24"/>
          <w:szCs w:val="24"/>
        </w:rPr>
      </w:pPr>
      <w:r>
        <w:rPr>
          <w:rFonts w:ascii="Times New Roman" w:cs="Times New Roman" w:hAnsi="Times New Roman"/>
          <w:sz w:val="24"/>
          <w:szCs w:val="24"/>
        </w:rPr>
        <w:t>Despite the increase in CSR activities in sports, there has been little empirical work examining the factors that motivate professional sport organizations to become involved in socially responsible activities and on the outcomes of such activities. This paper addresses this gap in the literature and aims to determine the antecedents and consequences of CSR activities in professional sports.</w:t>
      </w:r>
    </w:p>
    <w:p>
      <w:pPr>
        <w:pStyle w:val="style0"/>
        <w:spacing w:after="129" w:lineRule="auto" w:line="360"/>
        <w:ind w:left="24" w:right="-15" w:hanging="10"/>
        <w:jc w:val="both"/>
        <w:rPr>
          <w:rFonts w:ascii="Times New Roman" w:cs="Times New Roman" w:hAnsi="Times New Roman"/>
          <w:sz w:val="24"/>
          <w:szCs w:val="24"/>
        </w:rPr>
      </w:pPr>
      <w:r>
        <w:rPr>
          <w:rFonts w:ascii="Times New Roman" w:cs="Times New Roman" w:eastAsia="Calibri" w:hAnsi="Times New Roman"/>
          <w:sz w:val="24"/>
          <w:szCs w:val="24"/>
        </w:rPr>
        <w:t>Japan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The recent rise of CSR in Japan has paralleled the revelation of major corporate scandals such as those in 2000 (www.csrjapan.jp). As a consequence, for example, ‘‘The Keidanren Charter for Good Corporate Behavior’’ was announced by the Japan Federation of Economic Organizations (Nippon Keidanren) and emphasizes strengthening compliance and building trust with consumers (Hirose, 2006). In addition, Japanese corporations also have a long and unique history of contributing to society (Demise, 2006), for example, through customer-oriented products and services, stable employment, philanthropy and community involvement (www.csrjapan.jp). Much of the new formation of business within society was developed between the late 1980s and early 1990s as a result of the collapse of the ‘‘bubble economy’’ and consequent higher organizational transparency and social responsiveness (Deminse, 2006). Kaku (1997) in their analysis of Japan emphasize the cooperative approach between groups of corporations as crucial to understanding powerful forces for social, political, and economical transformation.</w:t>
      </w:r>
    </w:p>
    <w:p>
      <w:pPr>
        <w:pStyle w:val="style0"/>
        <w:spacing w:after="130" w:lineRule="auto" w:line="360"/>
        <w:ind w:left="25" w:right="-15" w:hanging="10"/>
        <w:jc w:val="both"/>
        <w:rPr>
          <w:rFonts w:ascii="Times New Roman" w:cs="Times New Roman" w:hAnsi="Times New Roman"/>
          <w:sz w:val="24"/>
          <w:szCs w:val="24"/>
        </w:rPr>
      </w:pPr>
      <w:r>
        <w:rPr>
          <w:rFonts w:ascii="Times New Roman" w:cs="Times New Roman" w:hAnsi="Times New Roman"/>
          <w:sz w:val="24"/>
          <w:szCs w:val="24"/>
        </w:rPr>
        <w:t>CSR in Professional Football: The Evidence</w:t>
      </w:r>
    </w:p>
    <w:p>
      <w:pPr>
        <w:pStyle w:val="style0"/>
        <w:spacing w:after="129" w:lineRule="auto" w:line="360"/>
        <w:ind w:left="24" w:right="-15" w:hanging="10"/>
        <w:jc w:val="both"/>
        <w:rPr>
          <w:rFonts w:ascii="Times New Roman" w:cs="Times New Roman" w:hAnsi="Times New Roman"/>
          <w:sz w:val="24"/>
          <w:szCs w:val="24"/>
        </w:rPr>
      </w:pPr>
      <w:r>
        <w:rPr>
          <w:rFonts w:ascii="Times New Roman" w:cs="Times New Roman" w:eastAsia="Calibri" w:hAnsi="Times New Roman"/>
          <w:sz w:val="24"/>
          <w:szCs w:val="24"/>
        </w:rPr>
        <w:t>The ‘‘Home’’ of Football: CSR in English and German Football</w:t>
      </w:r>
    </w:p>
    <w:p>
      <w:pPr>
        <w:pStyle w:val="style0"/>
        <w:spacing w:lineRule="auto" w:line="360"/>
        <w:ind w:right="113"/>
        <w:jc w:val="both"/>
        <w:rPr>
          <w:rFonts w:ascii="Times New Roman" w:cs="Times New Roman" w:hAnsi="Times New Roman"/>
          <w:sz w:val="24"/>
          <w:szCs w:val="24"/>
        </w:rPr>
      </w:pPr>
      <w:r>
        <w:rPr>
          <w:rFonts w:ascii="Times New Roman" w:cs="Times New Roman" w:hAnsi="Times New Roman"/>
          <w:sz w:val="24"/>
          <w:szCs w:val="24"/>
        </w:rPr>
        <w:t xml:space="preserve">European football is the epicentre of the global game. At the same time, the EU is the most vibrant area for CSR debate, discussion and consequent development (Diamantopoulou, 2005). Football is deeply rooted in the English and German culture and society; the cases provide insight into the complexity of relationships, and its linkages to different national modes of CSR. Sport sponsorship involves a strategic relationship between a sponsor and a sports property for mutual benefit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Farrelly</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Quester,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2005</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It has long been shown that one of the main objectives of sponsorship is its effect on sponsors’ brand image, which is achieved through an image transfer from the positive brand image of the sports property to their own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 xml:space="preserve">Javalgi, </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Traylor,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Gross,</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Lampman,</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1994</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Image transfer models are still subject to theoretical developments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Abreu</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Novais</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Arcodia,</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2013</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On the other hand, CSR refers to ‘‘company activities – voluntary by definition – demonstrating the inclusion of social and environmental concerns in business operations and in interactions with stakeholders’’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Van</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Marrewijk,</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 xml:space="preserve">2003, </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102</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From an academic perspective, CSR has remained a heavily debated concept, mostly around two issues. The first relates to its scope.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Carroll</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(1979,</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1991)</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"pfe" </w:instrText>
      </w:r>
      <w:r>
        <w:rPr>
          <w:sz w:val="24"/>
          <w:szCs w:val="24"/>
        </w:rPr>
        <w:fldChar w:fldCharType="separate"/>
      </w:r>
      <w:r>
        <w:rPr>
          <w:rFonts w:ascii="Times New Roman" w:cs="Times New Roman" w:hAnsi="Times New Roman"/>
          <w:sz w:val="24"/>
          <w:szCs w:val="24"/>
        </w:rPr>
        <w:t>p</w:t>
      </w:r>
      <w:r>
        <w:rPr>
          <w:sz w:val="24"/>
          <w:szCs w:val="24"/>
        </w:rPr>
        <w:fldChar w:fldCharType="end"/>
      </w:r>
      <w:r>
        <w:rPr>
          <w:rFonts w:ascii="Times New Roman" w:cs="Times New Roman" w:hAnsi="Times New Roman"/>
          <w:sz w:val="24"/>
          <w:szCs w:val="24"/>
        </w:rPr>
        <w:t xml:space="preserve">roposed a model structured around four levels of responsibilities (economic, legal, ethical, and philanthropic), though indicating that the usual definition of CSR goes beyond purely economic and legal considerations. The second relates to the groups – called stakeholders – toward whom corporations are responsible, entailing a constellation of contradictory approaches, from instrumental views according to which the management of stakeholders is only a means for achieving economic objectives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Clarkson,</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1995</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to moral views through which every legitimate stakeholder should be taken into account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Freeman,</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1984</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Despite these difficulties, CSR has become a widespread management tool for corporations’ reputation and brand image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Werther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Chandler,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2005</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w:t>
      </w:r>
    </w:p>
    <w:p>
      <w:pPr>
        <w:pStyle w:val="style0"/>
        <w:spacing w:lineRule="auto" w:line="360"/>
        <w:ind w:right="101"/>
        <w:jc w:val="both"/>
        <w:rPr>
          <w:rFonts w:ascii="Times New Roman" w:cs="Times New Roman" w:hAnsi="Times New Roman"/>
          <w:sz w:val="24"/>
          <w:szCs w:val="24"/>
        </w:rPr>
      </w:pPr>
      <w:r>
        <w:rPr>
          <w:rFonts w:ascii="Times New Roman" w:cs="Times New Roman" w:hAnsi="Times New Roman"/>
          <w:sz w:val="24"/>
          <w:szCs w:val="24"/>
        </w:rPr>
        <w:t xml:space="preserve">An interesting link between sports sponsorship and CSR is that sports organizations are seen as a vehicle for deploying corporations’ CSR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Smith</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Westerbeek,</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2007;</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Walters,</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2009</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According to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Smith</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Westerbeek</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(2007)</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sport has some features that can be effectively used for CSR: youth appeal, positive health impacts, social interaction, sustainability awareness, and cultural integration. These features combine with the subtlety offered by sponsorship, which is often perceived by consumers as more sincere and selfless than direct corporate campaigns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Plewa</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Quester,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2011</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Consistent with this view are the studies carried out by several researchers into the reactions of consumers to S-CSR initiatives.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 xml:space="preserve">Irwin, </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Lachowetz,</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Cornwell,</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Clark</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(2003)</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rFonts w:ascii="Times New Roman" w:cs="Times New Roman" w:hAnsi="Times New Roman"/>
          <w:sz w:val="24"/>
          <w:szCs w:val="24"/>
        </w:rPr>
        <w:t>were probably the first to point out the positive outcomes of S-CSR on consumer attitudes.</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Walker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Kent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(2009)</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f</w:t>
      </w:r>
      <w:r>
        <w:rPr>
          <w:sz w:val="24"/>
          <w:szCs w:val="24"/>
        </w:rPr>
        <w:fldChar w:fldCharType="end"/>
      </w:r>
      <w:r>
        <w:rPr>
          <w:rFonts w:ascii="Times New Roman" w:cs="Times New Roman" w:hAnsi="Times New Roman"/>
          <w:sz w:val="24"/>
          <w:szCs w:val="24"/>
        </w:rPr>
        <w:t xml:space="preserve">ound that the CSR programs of the NFL teams had a positive effect on reputation, word-ofmouth, and merchandize consumption behaviors.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Kim,</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Kwak,</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Kim</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(2010)</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s</w:t>
      </w:r>
      <w:r>
        <w:rPr>
          <w:sz w:val="24"/>
          <w:szCs w:val="24"/>
        </w:rPr>
        <w:fldChar w:fldCharType="end"/>
      </w:r>
      <w:r>
        <w:rPr>
          <w:rFonts w:ascii="Times New Roman" w:cs="Times New Roman" w:hAnsi="Times New Roman"/>
          <w:sz w:val="24"/>
          <w:szCs w:val="24"/>
        </w:rPr>
        <w:t xml:space="preserve">uggested that S-CSR may have universal appeal and effectiveness.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Heinze,</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Soderstrom,</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Zdroik</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(2014)</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 through an in-depth case study, described several key processes enabling a professional team to implement a strategic and authentic CSR program, notably through partnerships with specifically-targeted corporations.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It is therefore not surprising that a growing number of corporations engage in S-CSR strategies.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Farrelly</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Geyser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 xml:space="preserve">(2007) </w:t>
      </w:r>
      <w:r>
        <w:rPr>
          <w:sz w:val="24"/>
          <w:szCs w:val="24"/>
        </w:rPr>
        <w:fldChar w:fldCharType="end"/>
      </w:r>
      <w:r>
        <w:rPr>
          <w:rFonts w:ascii="Times New Roman" w:cs="Times New Roman" w:hAnsi="Times New Roman"/>
          <w:sz w:val="24"/>
          <w:szCs w:val="24"/>
        </w:rPr>
        <w:t xml:space="preserve">noted that global companies like Nike or Visa view CSR as an interesting approach to sports sponsorship. However, the extant literature has just begun to explore the rationales behind S-CSR practices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Flo</w:t>
      </w:r>
      <w:r>
        <w:rPr>
          <w:sz w:val="24"/>
          <w:szCs w:val="24"/>
        </w:rPr>
        <w:fldChar w:fldCharType="end"/>
      </w:r>
      <w:r>
        <w:rPr>
          <w:rFonts w:ascii="Times New Roman" w:cs="Times New Roman" w:hAnsi="Times New Roman"/>
          <w:sz w:val="24"/>
          <w:szCs w:val="24"/>
        </w:rPr>
        <w:t xml:space="preserve">¨ter, Benkenstein, &amp;Uhrich, 2016). This paper falls within the scope of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Plewa</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and</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Quester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(2011)</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xml:space="preserve">who suggested a broad avenue for research; namely, ‘‘if sponsors view CSR as a measure of sports sponsorship effectiveness, how do they seek to achieve it?’’ (2011, p. 305). To start answering this question, it is first necessary to better consider the complexity of S-CSR, as several issues have not yet been fully delineated. Firstly, the extant literature has mainly linked the S-CSR activities of corporations to broad corporate image purposes </w:t>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Misener</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&amp;</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Mason,</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2010;</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Seguin</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et</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al.,</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2010</w:t>
      </w:r>
      <w:r>
        <w:rPr>
          <w:sz w:val="24"/>
          <w:szCs w:val="24"/>
        </w:rPr>
        <w:fldChar w:fldCharType="end"/>
      </w:r>
      <w:r>
        <w:rPr>
          <w:sz w:val="24"/>
          <w:szCs w:val="24"/>
        </w:rPr>
        <w:fldChar w:fldCharType="begin"/>
      </w:r>
      <w:r>
        <w:rPr>
          <w:sz w:val="24"/>
          <w:szCs w:val="24"/>
        </w:rPr>
        <w:instrText xml:space="preserve"> HYPERLINK "https://reader.elsevier.com/reader/sd/FCB9C2EA5F36409AE631AFFA41BF2E6CEAB29F954DF6A45D6803981A6CB34C32864C3D9F314637F3EA76B1C1C826D4A7" \l "pff" </w:instrText>
      </w:r>
      <w:r>
        <w:rPr>
          <w:sz w:val="24"/>
          <w:szCs w:val="24"/>
        </w:rPr>
        <w:fldChar w:fldCharType="separate"/>
      </w:r>
      <w:r>
        <w:rPr>
          <w:rFonts w:ascii="Times New Roman" w:cs="Times New Roman" w:hAnsi="Times New Roman"/>
          <w:sz w:val="24"/>
          <w:szCs w:val="24"/>
        </w:rPr>
        <w:t>)</w:t>
      </w:r>
      <w:r>
        <w:rPr>
          <w:sz w:val="24"/>
          <w:szCs w:val="24"/>
        </w:rPr>
        <w:fldChar w:fldCharType="end"/>
      </w:r>
      <w:r>
        <w:rPr>
          <w:rFonts w:ascii="Times New Roman" w:cs="Times New Roman" w:hAnsi="Times New Roman"/>
          <w:sz w:val="24"/>
          <w:szCs w:val="24"/>
        </w:rPr>
        <w:t>, without providing a clear vision of the strategic outcomes sought by sponsors.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noProof/>
          <w:sz w:val="24"/>
          <w:szCs w:val="24"/>
          <w:lang w:val="en-ZA" w:eastAsia="en-ZA"/>
        </w:rPr>
        <mc:AlternateContent>
          <mc:Choice Requires="wpg">
            <w:drawing>
              <wp:anchor distT="0" distB="0" distL="0" distR="0" simplePos="false" relativeHeight="2" behindDoc="true" locked="false" layoutInCell="true" allowOverlap="true">
                <wp:simplePos x="0" y="0"/>
                <wp:positionH relativeFrom="column">
                  <wp:posOffset>-5505450</wp:posOffset>
                </wp:positionH>
                <wp:positionV relativeFrom="paragraph">
                  <wp:posOffset>90805</wp:posOffset>
                </wp:positionV>
                <wp:extent cx="17145000" cy="19954876"/>
                <wp:effectExtent l="0" t="0" r="0" b="4445"/>
                <wp:wrapNone/>
                <wp:docPr id="1027" name="Group 16726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7145000" cy="19954876"/>
                          <a:chOff x="-29813" y="-2857"/>
                          <a:chExt cx="171450" cy="199548"/>
                        </a:xfrm>
                      </wpg:grpSpPr>
                      <wps:wsp>
                        <wps:cNvSpPr/>
                        <wps:spPr>
                          <a:xfrm rot="0">
                            <a:off x="-95" y="-1809"/>
                            <a:ext cx="141731" cy="198500"/>
                          </a:xfrm>
                          <a:custGeom>
                            <a:avLst/>
                            <a:gdLst/>
                            <a:ahLst/>
                            <a:rect l="l" t="t" r="r" b="b"/>
                            <a:pathLst>
                              <a:path w="14173200" h="19850100" stroke="1">
                                <a:moveTo>
                                  <a:pt x="0" y="0"/>
                                </a:moveTo>
                                <a:lnTo>
                                  <a:pt x="14173200" y="0"/>
                                </a:lnTo>
                                <a:lnTo>
                                  <a:pt x="14173200" y="19850100"/>
                                </a:lnTo>
                                <a:lnTo>
                                  <a:pt x="0" y="19850100"/>
                                </a:lnTo>
                                <a:lnTo>
                                  <a:pt x="0" y="0"/>
                                </a:lnTo>
                              </a:path>
                            </a:pathLst>
                          </a:custGeom>
                          <a:solidFill>
                            <a:srgbClr val="eaeaea"/>
                          </a:solidFill>
                          <a:ln>
                            <a:noFill/>
                          </a:ln>
                        </wps:spPr>
                        <wps:bodyPr>
                          <a:prstTxWarp prst="textNoShape"/>
                        </wps:bodyPr>
                      </wps:wsp>
                      <wps:wsp>
                        <wps:cNvSpPr/>
                        <wps:spPr>
                          <a:xfrm rot="0">
                            <a:off x="-29813" y="-2857"/>
                            <a:ext cx="122872" cy="167703"/>
                          </a:xfrm>
                          <a:custGeom>
                            <a:avLst/>
                            <a:gdLst/>
                            <a:ahLst/>
                            <a:rect l="l" t="t" r="r" b="b"/>
                            <a:pathLst>
                              <a:path w="12287250" h="16770350" stroke="1">
                                <a:moveTo>
                                  <a:pt x="0" y="0"/>
                                </a:moveTo>
                                <a:lnTo>
                                  <a:pt x="12287250" y="0"/>
                                </a:lnTo>
                                <a:lnTo>
                                  <a:pt x="12287250" y="16770350"/>
                                </a:lnTo>
                                <a:lnTo>
                                  <a:pt x="0" y="16770350"/>
                                </a:lnTo>
                                <a:lnTo>
                                  <a:pt x="0" y="0"/>
                                </a:lnTo>
                              </a:path>
                            </a:pathLst>
                          </a:custGeom>
                          <a:solidFill>
                            <a:srgbClr val="ffffff"/>
                          </a:solidFill>
                          <a:ln>
                            <a:noFill/>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27" filled="f" stroked="f" style="position:absolute;margin-left:-433.5pt;margin-top:7.15pt;width:1350.0pt;height:1571.25pt;z-index:-2147483645;mso-position-horizontal-relative:text;mso-position-vertical-relative:text;mso-width-percent:0;mso-height-percent:0;mso-width-relative:margin;mso-height-relative:margin;mso-wrap-distance-left:0.0pt;mso-wrap-distance-right:0.0pt;visibility:visible;" coordsize="171450,199548" coordorigin="-29813,-2857">
                <v:shape id="1028" coordsize="14173200,19850100" path="m0,0l14173200,0l14173200,19850100l0,19850100l0,0e" fillcolor="#eaeaea" stroked="f" style="position:absolute;left:-95;top:-1809;width:141731;height:198500;z-index:2;mso-position-horizontal-relative:page;mso-position-vertical-relative:page;mso-width-relative:page;mso-height-relative:page;visibility:visible;">
                  <v:stroke on="f"/>
                  <v:fill/>
                  <v:path textboxrect="0,0,14173200,19850100"/>
                </v:shape>
                <v:shape id="1029" coordsize="12287250,16770350" path="m0,0l12287250,0l12287250,16770350l0,16770350l0,0e" fillcolor="white" stroked="f" style="position:absolute;left:-29813;top:-2857;width:122872;height:167703;z-index:3;mso-position-horizontal-relative:page;mso-position-vertical-relative:page;mso-width-relative:page;mso-height-relative:page;visibility:visible;">
                  <v:stroke on="f"/>
                  <v:fill/>
                  <v:path textboxrect="0,0,12287250,16770350"/>
                </v:shape>
                <v:fill/>
              </v:group>
            </w:pict>
          </mc:Fallback>
        </mc:AlternateConten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This paper is therefore based on the observation that the sheer complexity of S-CSR opens up a wide range of possibilities for sponsors. At the same time, however, it generates various forms of ambiguity: do they express their own CSR or that of their partnered sport property? What is the target? For what purpose?</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The above studies focused much on sponsorships as CSR, customer retention and brand loyalty of which it has been concluded that sponsorships are being used as a strong brand affinity with customers, both existing and new and also sponsorship is being used as a way of pursuing customer engagement through building relationship with existing ones.</w:t>
      </w:r>
    </w:p>
    <w:p>
      <w:pPr>
        <w:pStyle w:val="style4099"/>
        <w:spacing w:lineRule="auto" w:line="360"/>
        <w:jc w:val="both"/>
        <w:rPr>
          <w:color w:val="auto"/>
          <w:sz w:val="24"/>
          <w:szCs w:val="24"/>
        </w:rPr>
      </w:pPr>
    </w:p>
    <w:p>
      <w:pPr>
        <w:pStyle w:val="style4099"/>
        <w:tabs>
          <w:tab w:val="left" w:leader="none" w:pos="8400"/>
        </w:tabs>
        <w:spacing w:lineRule="auto" w:line="360"/>
        <w:jc w:val="both"/>
        <w:rPr>
          <w:color w:val="auto"/>
          <w:sz w:val="24"/>
          <w:szCs w:val="24"/>
        </w:rPr>
      </w:pPr>
      <w:r>
        <w:rPr>
          <w:color w:val="auto"/>
          <w:sz w:val="24"/>
          <w:szCs w:val="24"/>
        </w:rPr>
        <w:tab/>
      </w:r>
    </w:p>
    <w:p>
      <w:pPr>
        <w:pStyle w:val="style4099"/>
        <w:spacing w:lineRule="auto" w:line="360"/>
        <w:jc w:val="both"/>
        <w:rPr>
          <w:color w:val="auto"/>
          <w:sz w:val="24"/>
          <w:szCs w:val="24"/>
        </w:rPr>
      </w:pPr>
    </w:p>
    <w:p>
      <w:pPr>
        <w:pStyle w:val="style4099"/>
        <w:tabs>
          <w:tab w:val="left" w:leader="none" w:pos="5865"/>
        </w:tabs>
        <w:spacing w:lineRule="auto" w:line="360"/>
        <w:jc w:val="both"/>
        <w:rPr>
          <w:color w:val="auto"/>
          <w:sz w:val="24"/>
          <w:szCs w:val="24"/>
        </w:rPr>
      </w:pPr>
      <w:r>
        <w:rPr>
          <w:color w:val="auto"/>
          <w:sz w:val="24"/>
          <w:szCs w:val="24"/>
        </w:rPr>
        <w:tab/>
      </w:r>
    </w:p>
    <w:p>
      <w:pPr>
        <w:pStyle w:val="style4099"/>
        <w:spacing w:lineRule="auto" w:line="360"/>
        <w:jc w:val="both"/>
        <w:rPr>
          <w:color w:val="auto"/>
          <w:sz w:val="24"/>
          <w:szCs w:val="24"/>
        </w:rPr>
      </w:pPr>
    </w:p>
    <w:p>
      <w:pPr>
        <w:pStyle w:val="style4099"/>
        <w:spacing w:lineRule="auto" w:line="360"/>
        <w:jc w:val="both"/>
        <w:rPr>
          <w:color w:val="auto"/>
          <w:sz w:val="24"/>
          <w:szCs w:val="24"/>
        </w:rPr>
      </w:pPr>
    </w:p>
    <w:p>
      <w:pPr>
        <w:pStyle w:val="style4099"/>
        <w:spacing w:lineRule="auto" w:line="360"/>
        <w:jc w:val="both"/>
        <w:rPr>
          <w:color w:val="auto"/>
          <w:sz w:val="24"/>
          <w:szCs w:val="24"/>
        </w:rPr>
      </w:pPr>
    </w:p>
    <w:p>
      <w:pPr>
        <w:pStyle w:val="style4099"/>
        <w:tabs>
          <w:tab w:val="left" w:leader="none" w:pos="7575"/>
        </w:tabs>
        <w:spacing w:lineRule="auto" w:line="360"/>
        <w:jc w:val="both"/>
        <w:rPr>
          <w:color w:val="auto"/>
          <w:sz w:val="24"/>
          <w:szCs w:val="24"/>
        </w:rPr>
      </w:pPr>
      <w:r>
        <w:rPr>
          <w:color w:val="auto"/>
          <w:sz w:val="24"/>
          <w:szCs w:val="24"/>
        </w:rPr>
        <w:tab/>
      </w:r>
    </w:p>
    <w:p>
      <w:pPr>
        <w:pStyle w:val="style1"/>
        <w:spacing w:lineRule="auto" w:line="360"/>
        <w:rPr>
          <w:rFonts w:ascii="Times New Roman" w:cs="Times New Roman" w:hAnsi="Times New Roman"/>
          <w:sz w:val="24"/>
          <w:szCs w:val="24"/>
        </w:rPr>
      </w:pPr>
      <w:r>
        <w:rPr>
          <w:sz w:val="24"/>
          <w:szCs w:val="24"/>
        </w:rPr>
        <w:t xml:space="preserve">                             </w:t>
      </w:r>
      <w:bookmarkStart w:id="28" w:name="_Toc125582528"/>
      <w:r>
        <w:rPr>
          <w:sz w:val="24"/>
          <w:szCs w:val="24"/>
        </w:rPr>
        <w:t>CHAPTER THREE:</w:t>
      </w:r>
      <w:r>
        <w:rPr>
          <w:rFonts w:ascii="Times New Roman" w:cs="Times New Roman" w:hAnsi="Times New Roman"/>
          <w:sz w:val="24"/>
          <w:szCs w:val="24"/>
        </w:rPr>
        <w:t xml:space="preserve"> METHODOLOGY</w:t>
      </w:r>
      <w:bookmarkEnd w:id="28"/>
    </w:p>
    <w:p>
      <w:pPr>
        <w:pStyle w:val="style0"/>
        <w:spacing w:after="0" w:lineRule="auto" w:line="360"/>
        <w:ind w:left="2880"/>
        <w:jc w:val="both"/>
        <w:rPr>
          <w:rFonts w:ascii="Times New Roman" w:cs="Times New Roman" w:hAnsi="Times New Roman"/>
          <w:b/>
          <w:sz w:val="24"/>
          <w:szCs w:val="24"/>
        </w:rPr>
      </w:pPr>
    </w:p>
    <w:bookmarkStart w:id="29" w:name="_Toc125582529"/>
    <w:p>
      <w:pPr>
        <w:pStyle w:val="style2"/>
        <w:spacing w:lineRule="auto" w:line="360"/>
        <w:rPr>
          <w:sz w:val="24"/>
          <w:szCs w:val="24"/>
        </w:rPr>
      </w:pPr>
      <w:r>
        <w:rPr>
          <w:sz w:val="24"/>
          <w:szCs w:val="24"/>
        </w:rPr>
        <w:t>3.1. Chapter Overview</w:t>
      </w:r>
      <w:bookmarkEnd w:id="29"/>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This chapter serves to provide a methodological framework guiding this research study. It presents the research design, philosophy, population of the study, sampling method, ways on how data will be collected and measured in terms of the validity and reliability, data analysis and research schedule showing the duration of each activity in the project and the budget.</w:t>
      </w:r>
    </w:p>
    <w:p>
      <w:pPr>
        <w:pStyle w:val="style0"/>
        <w:spacing w:after="0" w:lineRule="auto" w:line="360"/>
        <w:jc w:val="both"/>
        <w:rPr>
          <w:rFonts w:ascii="Times New Roman" w:cs="Times New Roman" w:hAnsi="Times New Roman"/>
          <w:sz w:val="24"/>
          <w:szCs w:val="24"/>
        </w:rPr>
      </w:pPr>
    </w:p>
    <w:bookmarkStart w:id="30" w:name="_Toc125582530"/>
    <w:p>
      <w:pPr>
        <w:pStyle w:val="style2"/>
        <w:spacing w:lineRule="auto" w:line="360"/>
        <w:rPr>
          <w:sz w:val="24"/>
          <w:szCs w:val="24"/>
        </w:rPr>
      </w:pPr>
      <w:r>
        <w:rPr>
          <w:sz w:val="24"/>
          <w:szCs w:val="24"/>
        </w:rPr>
        <w:t>3.2. Research Design</w:t>
      </w:r>
      <w:bookmarkEnd w:id="30"/>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Quantitative research was employed in this research. As such all collected data was quantified through the analyses. The study emphasised on establishing if CSR administration fosters for customer retention,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Lodico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(2006)</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argues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this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method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gives an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in-depth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look</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context. Which revealed of magnitude of CSR's, to customer retention for both TNM and FDH.</w:t>
      </w:r>
    </w:p>
    <w:bookmarkStart w:id="31" w:name="_Toc125582531"/>
    <w:p>
      <w:pPr>
        <w:pStyle w:val="style2"/>
        <w:spacing w:lineRule="auto" w:line="360"/>
        <w:rPr>
          <w:sz w:val="24"/>
          <w:szCs w:val="24"/>
        </w:rPr>
      </w:pPr>
      <w:r>
        <w:rPr>
          <w:sz w:val="24"/>
          <w:szCs w:val="24"/>
        </w:rPr>
        <w:t>3.3. Population</w:t>
      </w:r>
      <w:bookmarkEnd w:id="31"/>
      <w:r>
        <w:rPr>
          <w:sz w:val="24"/>
          <w:szCs w:val="24"/>
        </w:rPr>
        <w:t xml:space="preserve"> </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A population comprises of all subjects on which a study is done (Bluman, 2012). In this case, the supporters from the sixteen teams that participate in TNM and FDH Super Leagues will be considered as the population for the study.</w:t>
      </w:r>
    </w:p>
    <w:bookmarkStart w:id="32" w:name="_Toc125582532"/>
    <w:p>
      <w:pPr>
        <w:pStyle w:val="style3"/>
        <w:spacing w:lineRule="auto" w:line="360"/>
        <w:rPr>
          <w:sz w:val="24"/>
          <w:szCs w:val="24"/>
        </w:rPr>
      </w:pPr>
      <w:r>
        <w:rPr>
          <w:sz w:val="24"/>
          <w:szCs w:val="24"/>
        </w:rPr>
        <w:t>3.3.1. Sample size</w:t>
      </w:r>
      <w:bookmarkEnd w:id="32"/>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Sample size refers to the number of participants or observations included in a study. This number is usually represented by n. The size of a sample influences two statistical properties: 1) the precision of our estimates and 2) the power of the study to draw conclusions.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Well this study targets 30 participants of Mzuzu residence that are stakeholders to football sponsorship. The individuals were targeted to 2 FAM workers, 2 TNM workers, 2 FDH workers and 26 football fans irrespective of particular team.</w:t>
      </w:r>
    </w:p>
    <w:bookmarkStart w:id="33" w:name="_Toc125582533"/>
    <w:p>
      <w:pPr>
        <w:pStyle w:val="style2"/>
        <w:spacing w:lineRule="auto" w:line="360"/>
        <w:rPr>
          <w:sz w:val="24"/>
          <w:szCs w:val="24"/>
        </w:rPr>
      </w:pPr>
      <w:r>
        <w:rPr>
          <w:sz w:val="24"/>
          <w:szCs w:val="24"/>
        </w:rPr>
        <w:t>3.4. Sampling method</w:t>
      </w:r>
      <w:bookmarkEnd w:id="33"/>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According to Lathan (2007), sampling method is “the ability of the research to select a portion of the population that is truly representative of the said population”. Lathan further argues that the sampling method exists in two standard categories which are the probability sampling and non-probability sampling methods. However, the participants in this study will be selected purposively and this is what is also known as the non-probability sampling method. Patton (as cited in Lodico et al., 2006, p.245) argues that “the logic and power of purposeful sampling lies in selecting information-rich cases for study in depth. Information-rich cases are those from which one can learn a great deal about issues of central importance to the purpose of the research”. Therefore, in order to accomplish the aim of the study due to the expenses and time. Big Bullets FC will be chosen to be the sample that will represent that bigger population. Bluman defines sample as “a group of subjects selected from a population”. Being the 2016 and 2018 TNM and FDH super league champions and won the cup for several times since the establishment of the league. Therefore, the supporters qualify to be studied under in this research. The group admins and active members will be targeted on Bullets WhatsApp groups. This is the case as some members may be there on the Bullets group for fun. Apart from Bullets being considered as a sample will also use snowball sampling and in this research am targeting at least 50 participants. </w:t>
      </w:r>
    </w:p>
    <w:p>
      <w:pPr>
        <w:pStyle w:val="style0"/>
        <w:spacing w:after="0" w:lineRule="auto" w:line="360"/>
        <w:jc w:val="both"/>
        <w:rPr>
          <w:rFonts w:ascii="Times New Roman" w:cs="Times New Roman" w:hAnsi="Times New Roman"/>
          <w:b/>
          <w:sz w:val="24"/>
          <w:szCs w:val="24"/>
        </w:rPr>
      </w:pPr>
    </w:p>
    <w:bookmarkStart w:id="34" w:name="_Toc125582534"/>
    <w:p>
      <w:pPr>
        <w:pStyle w:val="style2"/>
        <w:spacing w:lineRule="auto" w:line="360"/>
        <w:rPr>
          <w:sz w:val="24"/>
          <w:szCs w:val="24"/>
        </w:rPr>
      </w:pPr>
      <w:r>
        <w:rPr>
          <w:sz w:val="24"/>
          <w:szCs w:val="24"/>
        </w:rPr>
        <w:t>3.5. Data collection</w:t>
      </w:r>
      <w:bookmarkEnd w:id="34"/>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Online and social media platforms will be utilized in the data collection so that the research findings wears national presentation. Most Whatsapp groups, for example, consist of Bullets supporters from across the country, from Nsanje to Chitipa (Cohen et al., 2018: 361).Survey monkey will be used and questions being made in line with my objectives. After that, the survey monkey link will be distributed to the Bullets WhatsApp groups and for those who will be willing to fill my questionnaire will do so.</w:t>
      </w:r>
    </w:p>
    <w:p>
      <w:pPr>
        <w:pStyle w:val="style0"/>
        <w:spacing w:after="0" w:lineRule="auto" w:line="360"/>
        <w:jc w:val="both"/>
        <w:rPr>
          <w:rFonts w:ascii="Times New Roman" w:cs="Times New Roman" w:hAnsi="Times New Roman"/>
          <w:b/>
          <w:sz w:val="24"/>
          <w:szCs w:val="24"/>
        </w:rPr>
      </w:pP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 xml:space="preserve">Interview is also a method that will be used in the collection of research data. This is because interviews “brings the researcher in close contact with the participants” (Lodico et al., 2006: 264). A semi-structured face to face interview will be conducted to be really in direct contact with my participants. Questions will be prepared that will be targeting both TNM and FDH managers about the sponsorship since they will be in a good position to give a true picture concerning how promotion goes when the supporters are requested to vote for their player of the month as the league is in progress. An extension of these questions will be made depending on  responses that he will be providing. </w:t>
      </w:r>
    </w:p>
    <w:p>
      <w:pPr>
        <w:pStyle w:val="style0"/>
        <w:autoSpaceDE w:val="false"/>
        <w:autoSpaceDN w:val="false"/>
        <w:adjustRightInd w:val="false"/>
        <w:spacing w:after="0" w:lineRule="auto" w:line="360"/>
        <w:jc w:val="both"/>
        <w:rPr>
          <w:rFonts w:ascii="Times New Roman" w:cs="Times New Roman" w:hAnsi="Times New Roman"/>
          <w:sz w:val="24"/>
          <w:szCs w:val="24"/>
        </w:rPr>
      </w:pP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Other questions will be for Big Bullets official. “Exact wording and sequence of questions will be determined in advance” (Cohen et al., 2018:510). The officials will be asked the same basic questions in the similar order. Thereby, finding out about their perception and attitudes towards the TNM and FDH brands. And then compare and contrast their responses.</w:t>
      </w:r>
    </w:p>
    <w:p>
      <w:pPr>
        <w:pStyle w:val="style0"/>
        <w:autoSpaceDE w:val="false"/>
        <w:autoSpaceDN w:val="false"/>
        <w:adjustRightInd w:val="false"/>
        <w:spacing w:after="0" w:lineRule="auto" w:line="360"/>
        <w:jc w:val="both"/>
        <w:rPr>
          <w:rFonts w:ascii="Times New Roman" w:cs="Times New Roman" w:hAnsi="Times New Roman"/>
          <w:sz w:val="24"/>
          <w:szCs w:val="24"/>
        </w:rPr>
      </w:pP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The researcher will bring a pen and notepad to be taking important points as they will be responding to my questions and also jotting down some un tackled questions. Voice recorders will also be used and this will help in taking every detail that my participants will be saying.</w:t>
      </w:r>
    </w:p>
    <w:p>
      <w:pPr>
        <w:pStyle w:val="style179"/>
        <w:spacing w:after="0" w:lineRule="auto" w:line="360"/>
        <w:jc w:val="both"/>
        <w:rPr>
          <w:rFonts w:ascii="Times New Roman" w:cs="Times New Roman" w:hAnsi="Times New Roman"/>
          <w:sz w:val="24"/>
          <w:szCs w:val="24"/>
        </w:rPr>
      </w:pPr>
      <w:r>
        <w:rPr>
          <w:rFonts w:ascii="Times New Roman" w:cs="Times New Roman" w:hAnsi="Times New Roman"/>
          <w:sz w:val="24"/>
          <w:szCs w:val="24"/>
        </w:rPr>
        <w:tab/>
      </w:r>
    </w:p>
    <w:bookmarkStart w:id="35" w:name="_Toc125582535"/>
    <w:p>
      <w:pPr>
        <w:pStyle w:val="style2"/>
        <w:spacing w:lineRule="auto" w:line="360"/>
        <w:rPr>
          <w:sz w:val="24"/>
          <w:szCs w:val="24"/>
        </w:rPr>
      </w:pPr>
      <w:r>
        <w:rPr>
          <w:sz w:val="24"/>
          <w:szCs w:val="24"/>
        </w:rPr>
        <w:t>3.6. Validity and Reliability</w:t>
      </w:r>
      <w:bookmarkEnd w:id="35"/>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 xml:space="preserve">Validity, "It is the characteristic of a set of test scores that relates to the amount of random error from the measurement process that might be embedded in the scores. Scores that are highly reliable are precise, reproducible, and consistent from one testing occasion to another. That is, if the testing process were repeated with a group of test takers, essentially the same results would be obtained. </w:t>
      </w: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Validity through a data collection tool of a questionnaire was constructed with a simple language for effective communication, and as well in 3 languages of: Chewa, Tumbuka, and English to ascertain for effective communication and none alteration of responses in case of re-administration of the questionnaire.</w:t>
      </w:r>
    </w:p>
    <w:p>
      <w:pPr>
        <w:pStyle w:val="style0"/>
        <w:autoSpaceDE w:val="false"/>
        <w:autoSpaceDN w:val="false"/>
        <w:adjustRightInd w:val="false"/>
        <w:spacing w:after="0" w:lineRule="auto" w:line="360"/>
        <w:jc w:val="both"/>
        <w:rPr>
          <w:rFonts w:ascii="Times New Roman" w:cs="Times New Roman" w:hAnsi="Times New Roman"/>
          <w:sz w:val="24"/>
          <w:szCs w:val="24"/>
        </w:rPr>
      </w:pPr>
      <w:r>
        <w:rPr>
          <w:rFonts w:ascii="Times New Roman" w:cs="Times New Roman" w:hAnsi="Times New Roman"/>
          <w:sz w:val="24"/>
          <w:szCs w:val="24"/>
        </w:rPr>
        <w:t>“The measure of consistency over time, over similar samples and over the uses of the            instrument in question is called reliability. A reliable instrument in a piece of research yields similar data from similar respondents over time” (Cohen et al., 2018: 268). Therefore, in order for the study to be stable in terms of measurements, pilot study will be conducted in another group thereby asking the ones who completed the online questionnaires before to respond again to the same questions in order to see the consistency in their response. It will be done not sooner enough because the participants can remember on what they answered in the first test situation. It will all be done with a rationale of being precise and achieving accuracy in this study</w:t>
      </w:r>
    </w:p>
    <w:p>
      <w:pPr>
        <w:pStyle w:val="style0"/>
        <w:autoSpaceDE w:val="false"/>
        <w:autoSpaceDN w:val="false"/>
        <w:adjustRightInd w:val="false"/>
        <w:spacing w:after="0" w:lineRule="auto" w:line="360"/>
        <w:ind w:left="72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3.7. Data analysis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rPr>
        <w:t>After collecting information from research participants, th</w:t>
      </w:r>
      <w:r>
        <w:rPr>
          <w:rFonts w:ascii="Times New Roman" w:cs="Times New Roman" w:hAnsi="Times New Roman"/>
          <w:sz w:val="24"/>
          <w:szCs w:val="24"/>
          <w:lang w:val="en-US"/>
        </w:rPr>
        <w:t>e</w:t>
      </w:r>
      <w:r>
        <w:rPr>
          <w:rFonts w:ascii="Times New Roman" w:cs="Times New Roman" w:hAnsi="Times New Roman"/>
          <w:sz w:val="24"/>
          <w:szCs w:val="24"/>
        </w:rPr>
        <w:t xml:space="preserve"> information </w:t>
      </w:r>
      <w:r>
        <w:rPr>
          <w:rFonts w:ascii="Times New Roman" w:cs="Times New Roman" w:hAnsi="Times New Roman"/>
          <w:sz w:val="24"/>
          <w:szCs w:val="24"/>
          <w:lang w:val="en-US"/>
        </w:rPr>
        <w:t xml:space="preserve">was </w:t>
      </w:r>
      <w:r>
        <w:rPr>
          <w:rFonts w:ascii="Times New Roman" w:cs="Times New Roman" w:hAnsi="Times New Roman"/>
          <w:sz w:val="24"/>
          <w:szCs w:val="24"/>
        </w:rPr>
        <w:t xml:space="preserve">analyzed using </w:t>
      </w:r>
      <w:r>
        <w:rPr>
          <w:rFonts w:ascii="Times New Roman" w:cs="Times New Roman" w:hAnsi="Times New Roman"/>
          <w:sz w:val="24"/>
          <w:szCs w:val="24"/>
          <w:lang w:val="en-US"/>
        </w:rPr>
        <w:t>SPSS and Excell.</w:t>
      </w:r>
      <w:r>
        <w:rPr>
          <w:rFonts w:ascii="Times New Roman" w:cs="Times New Roman" w:hAnsi="Times New Roman"/>
          <w:sz w:val="24"/>
          <w:szCs w:val="24"/>
        </w:rPr>
        <w:t xml:space="preserve">The study will employ techniques from both qualitative and quantitative design since the study will be done using a mixed-method. </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SPSS was the platform onto which the collected data was mounted concious of a precoded responses to answers. Whereby presumed options were attached with codes and the same were mounted itno the SPSS platform. From which upon the mounting of responses classification of the same was automatically processed into tables representing presumptions to be derived to conclusions. The classification were further subjected to processing onto the excel platform, from which the SPSS data was developed into graphs.</w:t>
      </w:r>
    </w:p>
    <w:p>
      <w:pPr>
        <w:pStyle w:val="style0"/>
        <w:spacing w:after="0" w:lineRule="auto" w:line="360"/>
        <w:jc w:val="both"/>
        <w:rPr>
          <w:rFonts w:ascii="Times New Roman" w:cs="Times New Roman" w:hAnsi="Times New Roman"/>
          <w:sz w:val="24"/>
          <w:szCs w:val="24"/>
        </w:rPr>
      </w:pPr>
      <w:r>
        <w:rPr>
          <w:rFonts w:ascii="Times New Roman" w:cs="Times New Roman" w:hAnsi="Times New Roman"/>
          <w:sz w:val="24"/>
          <w:szCs w:val="24"/>
          <w:lang w:val="en-US"/>
        </w:rPr>
        <w:t>The analysed data was intepreted subject to statistical principles, so as to further break the data into consumable state.</w:t>
      </w:r>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Figure 3: Show the research working schedule</w:t>
      </w: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3.8. Research schedule</w:t>
      </w:r>
    </w:p>
    <w:tbl>
      <w:tblPr>
        <w:tblStyle w:val="style154"/>
        <w:tblpPr w:leftFromText="180" w:rightFromText="180" w:topFromText="0" w:bottomFromText="0" w:vertAnchor="text" w:tblpXSpec="left" w:tblpY="1"/>
        <w:tblOverlap w:val="never"/>
        <w:tblW w:w="9662" w:type="dxa"/>
        <w:tblLook w:val="04A0" w:firstRow="1" w:lastRow="0" w:firstColumn="1" w:lastColumn="0" w:noHBand="0" w:noVBand="1"/>
      </w:tblPr>
      <w:tblGrid>
        <w:gridCol w:w="1683"/>
        <w:gridCol w:w="753"/>
        <w:gridCol w:w="1380"/>
        <w:gridCol w:w="1065"/>
        <w:gridCol w:w="1065"/>
        <w:gridCol w:w="1320"/>
        <w:gridCol w:w="1733"/>
        <w:gridCol w:w="1195"/>
      </w:tblGrid>
      <w:tr>
        <w:trPr>
          <w:trHeight w:val="782" w:hRule="atLeast"/>
        </w:trPr>
        <w:tc>
          <w:tcPr>
            <w:tcW w:w="1750" w:type="dxa"/>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ACTIVITY</w:t>
            </w:r>
          </w:p>
        </w:tc>
        <w:tc>
          <w:tcPr>
            <w:tcW w:w="7908" w:type="dxa"/>
            <w:gridSpan w:val="7"/>
            <w:tcBorders>
              <w:top w:val="single" w:sz="4" w:space="0" w:color="auto"/>
              <w:bottom w:val="single" w:sz="4" w:space="0" w:color="auto"/>
              <w:right w:val="single" w:sz="4" w:space="0" w:color="auto"/>
            </w:tcBorders>
            <w:shd w:val="clear" w:color="auto" w:fill="auto"/>
          </w:tcPr>
          <w:p>
            <w:pPr>
              <w:pStyle w:val="style0"/>
              <w:spacing w:lineRule="auto" w:line="360"/>
              <w:jc w:val="center"/>
              <w:rPr>
                <w:rFonts w:ascii="Times New Roman" w:cs="Times New Roman" w:hAnsi="Times New Roman"/>
                <w:b/>
                <w:sz w:val="24"/>
                <w:szCs w:val="24"/>
              </w:rPr>
            </w:pPr>
            <w:r>
              <w:rPr>
                <w:rFonts w:ascii="Times New Roman" w:cs="Times New Roman" w:hAnsi="Times New Roman"/>
                <w:b/>
                <w:sz w:val="24"/>
                <w:szCs w:val="24"/>
              </w:rPr>
              <w:t>DATE</w:t>
            </w:r>
          </w:p>
        </w:tc>
      </w:tr>
      <w:tr>
        <w:tblPrEx/>
        <w:trPr>
          <w:trHeight w:val="809" w:hRule="atLeast"/>
        </w:trPr>
        <w:tc>
          <w:tcPr>
            <w:tcW w:w="1750" w:type="dxa"/>
            <w:tcBorders/>
          </w:tcPr>
          <w:p>
            <w:pPr>
              <w:pStyle w:val="style0"/>
              <w:spacing w:lineRule="auto" w:line="360"/>
              <w:jc w:val="both"/>
              <w:rPr>
                <w:rFonts w:ascii="Times New Roman" w:cs="Times New Roman" w:hAnsi="Times New Roman"/>
                <w:b/>
                <w:sz w:val="24"/>
                <w:szCs w:val="24"/>
              </w:rPr>
            </w:pPr>
          </w:p>
        </w:tc>
        <w:tc>
          <w:tcPr>
            <w:tcW w:w="696"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30</w:t>
            </w:r>
            <w:r>
              <w:rPr>
                <w:rFonts w:ascii="Times New Roman" w:cs="Times New Roman" w:hAnsi="Times New Roman"/>
                <w:sz w:val="24"/>
                <w:szCs w:val="24"/>
                <w:vertAlign w:val="superscript"/>
              </w:rPr>
              <w:t>th</w:t>
            </w:r>
            <w:r>
              <w:rPr>
                <w:rFonts w:ascii="Times New Roman" w:cs="Times New Roman" w:hAnsi="Times New Roman"/>
                <w:sz w:val="24"/>
                <w:szCs w:val="24"/>
              </w:rPr>
              <w:t xml:space="preserve"> July, 2022</w:t>
            </w:r>
          </w:p>
        </w:tc>
        <w:tc>
          <w:tcPr>
            <w:tcW w:w="124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15</w:t>
            </w:r>
            <w:r>
              <w:rPr>
                <w:rFonts w:ascii="Times New Roman" w:cs="Times New Roman" w:hAnsi="Times New Roman"/>
                <w:sz w:val="24"/>
                <w:szCs w:val="24"/>
                <w:vertAlign w:val="superscript"/>
              </w:rPr>
              <w:t>th</w:t>
            </w:r>
            <w:r>
              <w:rPr>
                <w:rFonts w:ascii="Times New Roman" w:cs="Times New Roman" w:hAnsi="Times New Roman"/>
                <w:sz w:val="24"/>
                <w:szCs w:val="24"/>
              </w:rPr>
              <w:t xml:space="preserve"> August-30</w:t>
            </w:r>
            <w:r>
              <w:rPr>
                <w:rFonts w:ascii="Times New Roman" w:cs="Times New Roman" w:hAnsi="Times New Roman"/>
                <w:sz w:val="24"/>
                <w:szCs w:val="24"/>
                <w:vertAlign w:val="superscript"/>
              </w:rPr>
              <w:t>th</w:t>
            </w:r>
            <w:r>
              <w:rPr>
                <w:rFonts w:ascii="Times New Roman" w:cs="Times New Roman" w:hAnsi="Times New Roman"/>
                <w:sz w:val="24"/>
                <w:szCs w:val="24"/>
              </w:rPr>
              <w:t xml:space="preserve"> September</w:t>
            </w:r>
          </w:p>
        </w:tc>
        <w:tc>
          <w:tcPr>
            <w:tcW w:w="98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r>
              <w:rPr>
                <w:rFonts w:ascii="Times New Roman" w:cs="Times New Roman" w:hAnsi="Times New Roman"/>
                <w:sz w:val="24"/>
                <w:szCs w:val="24"/>
                <w:vertAlign w:val="superscript"/>
              </w:rPr>
              <w:t>st</w:t>
            </w:r>
            <w:r>
              <w:rPr>
                <w:rFonts w:ascii="Times New Roman" w:cs="Times New Roman" w:hAnsi="Times New Roman"/>
                <w:sz w:val="24"/>
                <w:szCs w:val="24"/>
              </w:rPr>
              <w:t xml:space="preserve"> -30</w:t>
            </w:r>
            <w:r>
              <w:rPr>
                <w:rFonts w:ascii="Times New Roman" w:cs="Times New Roman" w:hAnsi="Times New Roman"/>
                <w:sz w:val="24"/>
                <w:szCs w:val="24"/>
                <w:vertAlign w:val="superscript"/>
              </w:rPr>
              <w:t>th</w:t>
            </w:r>
            <w:r>
              <w:rPr>
                <w:rFonts w:ascii="Times New Roman" w:cs="Times New Roman" w:hAnsi="Times New Roman"/>
                <w:sz w:val="24"/>
                <w:szCs w:val="24"/>
              </w:rPr>
              <w:t xml:space="preserve"> October</w:t>
            </w:r>
          </w:p>
        </w:tc>
        <w:tc>
          <w:tcPr>
            <w:tcW w:w="98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31</w:t>
            </w:r>
            <w:r>
              <w:rPr>
                <w:rFonts w:ascii="Times New Roman" w:cs="Times New Roman" w:hAnsi="Times New Roman"/>
                <w:sz w:val="24"/>
                <w:szCs w:val="24"/>
                <w:vertAlign w:val="superscript"/>
              </w:rPr>
              <w:t>st</w:t>
            </w:r>
            <w:r>
              <w:rPr>
                <w:rFonts w:ascii="Times New Roman" w:cs="Times New Roman" w:hAnsi="Times New Roman"/>
                <w:sz w:val="24"/>
                <w:szCs w:val="24"/>
              </w:rPr>
              <w:t xml:space="preserve"> October</w:t>
            </w:r>
          </w:p>
        </w:tc>
        <w:tc>
          <w:tcPr>
            <w:tcW w:w="122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30</w:t>
            </w:r>
            <w:r>
              <w:rPr>
                <w:rFonts w:ascii="Times New Roman" w:cs="Times New Roman" w:hAnsi="Times New Roman"/>
                <w:sz w:val="24"/>
                <w:szCs w:val="24"/>
                <w:vertAlign w:val="superscript"/>
              </w:rPr>
              <w:t>th</w:t>
            </w:r>
            <w:r>
              <w:rPr>
                <w:rFonts w:ascii="Times New Roman" w:cs="Times New Roman" w:hAnsi="Times New Roman"/>
                <w:sz w:val="24"/>
                <w:szCs w:val="24"/>
              </w:rPr>
              <w:t xml:space="preserve"> November</w:t>
            </w:r>
          </w:p>
        </w:tc>
        <w:tc>
          <w:tcPr>
            <w:tcW w:w="162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6</w:t>
            </w:r>
            <w:r>
              <w:rPr>
                <w:rFonts w:ascii="Times New Roman" w:cs="Times New Roman" w:hAnsi="Times New Roman"/>
                <w:sz w:val="24"/>
                <w:szCs w:val="24"/>
                <w:vertAlign w:val="superscript"/>
              </w:rPr>
              <w:t>th</w:t>
            </w:r>
            <w:r>
              <w:rPr>
                <w:rFonts w:ascii="Times New Roman" w:cs="Times New Roman" w:hAnsi="Times New Roman"/>
                <w:sz w:val="24"/>
                <w:szCs w:val="24"/>
              </w:rPr>
              <w:t>-10</w:t>
            </w:r>
            <w:r>
              <w:rPr>
                <w:rFonts w:ascii="Times New Roman" w:cs="Times New Roman" w:hAnsi="Times New Roman"/>
                <w:sz w:val="24"/>
                <w:szCs w:val="24"/>
                <w:vertAlign w:val="superscript"/>
              </w:rPr>
              <w:t>th</w:t>
            </w:r>
            <w:r>
              <w:rPr>
                <w:rFonts w:ascii="Times New Roman" w:cs="Times New Roman" w:hAnsi="Times New Roman"/>
                <w:sz w:val="24"/>
                <w:szCs w:val="24"/>
              </w:rPr>
              <w:t xml:space="preserve"> February,2023</w:t>
            </w:r>
          </w:p>
        </w:tc>
        <w:tc>
          <w:tcPr>
            <w:tcW w:w="1143"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13</w:t>
            </w:r>
            <w:r>
              <w:rPr>
                <w:rFonts w:ascii="Times New Roman" w:cs="Times New Roman" w:hAnsi="Times New Roman"/>
                <w:sz w:val="24"/>
                <w:szCs w:val="24"/>
                <w:vertAlign w:val="superscript"/>
              </w:rPr>
              <w:t>th</w:t>
            </w:r>
            <w:r>
              <w:rPr>
                <w:rFonts w:ascii="Times New Roman" w:cs="Times New Roman" w:hAnsi="Times New Roman"/>
                <w:sz w:val="24"/>
                <w:szCs w:val="24"/>
              </w:rPr>
              <w:t xml:space="preserve"> February, 2023</w:t>
            </w:r>
          </w:p>
        </w:tc>
      </w:tr>
      <w:tr>
        <w:tblPrEx/>
        <w:trPr>
          <w:trHeight w:val="782"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Proposal Submission</w:t>
            </w:r>
          </w:p>
        </w:tc>
        <w:tc>
          <w:tcPr>
            <w:tcW w:w="696" w:type="dxa"/>
            <w:tcBorders/>
            <w:shd w:val="clear" w:color="auto" w:fill="000000"/>
          </w:tcPr>
          <w:p>
            <w:pPr>
              <w:pStyle w:val="style0"/>
              <w:spacing w:lineRule="auto" w:line="360"/>
              <w:jc w:val="both"/>
              <w:rPr>
                <w:rFonts w:ascii="Times New Roman" w:cs="Times New Roman" w:hAnsi="Times New Roman"/>
                <w:b/>
                <w:sz w:val="24"/>
                <w:szCs w:val="24"/>
              </w:rPr>
            </w:pPr>
          </w:p>
        </w:tc>
        <w:tc>
          <w:tcPr>
            <w:tcW w:w="1243"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1229" w:type="dxa"/>
            <w:tcBorders/>
          </w:tcPr>
          <w:p>
            <w:pPr>
              <w:pStyle w:val="style0"/>
              <w:spacing w:lineRule="auto" w:line="360"/>
              <w:jc w:val="both"/>
              <w:rPr>
                <w:rFonts w:ascii="Times New Roman" w:cs="Times New Roman" w:hAnsi="Times New Roman"/>
                <w:b/>
                <w:sz w:val="24"/>
                <w:szCs w:val="24"/>
              </w:rPr>
            </w:pPr>
          </w:p>
        </w:tc>
        <w:tc>
          <w:tcPr>
            <w:tcW w:w="1623" w:type="dxa"/>
            <w:tcBorders/>
          </w:tcPr>
          <w:p>
            <w:pPr>
              <w:pStyle w:val="style0"/>
              <w:spacing w:lineRule="auto" w:line="360"/>
              <w:jc w:val="both"/>
              <w:rPr>
                <w:rFonts w:ascii="Times New Roman" w:cs="Times New Roman" w:hAnsi="Times New Roman"/>
                <w:b/>
                <w:sz w:val="24"/>
                <w:szCs w:val="24"/>
              </w:rPr>
            </w:pPr>
          </w:p>
        </w:tc>
        <w:tc>
          <w:tcPr>
            <w:tcW w:w="1143" w:type="dxa"/>
            <w:tcBorders/>
          </w:tcPr>
          <w:p>
            <w:pPr>
              <w:pStyle w:val="style0"/>
              <w:spacing w:lineRule="auto" w:line="360"/>
              <w:jc w:val="both"/>
              <w:rPr>
                <w:rFonts w:ascii="Times New Roman" w:cs="Times New Roman" w:hAnsi="Times New Roman"/>
                <w:b/>
                <w:sz w:val="24"/>
                <w:szCs w:val="24"/>
              </w:rPr>
            </w:pPr>
          </w:p>
        </w:tc>
      </w:tr>
      <w:tr>
        <w:tblPrEx/>
        <w:trPr>
          <w:trHeight w:val="782"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Data Collection</w:t>
            </w:r>
          </w:p>
        </w:tc>
        <w:tc>
          <w:tcPr>
            <w:tcW w:w="696" w:type="dxa"/>
            <w:tcBorders/>
          </w:tcPr>
          <w:p>
            <w:pPr>
              <w:pStyle w:val="style0"/>
              <w:spacing w:lineRule="auto" w:line="360"/>
              <w:jc w:val="both"/>
              <w:rPr>
                <w:rFonts w:ascii="Times New Roman" w:cs="Times New Roman" w:hAnsi="Times New Roman"/>
                <w:b/>
                <w:sz w:val="24"/>
                <w:szCs w:val="24"/>
              </w:rPr>
            </w:pPr>
          </w:p>
        </w:tc>
        <w:tc>
          <w:tcPr>
            <w:tcW w:w="1243" w:type="dxa"/>
            <w:tcBorders/>
            <w:shd w:val="clear" w:color="auto" w:fill="000000"/>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1229" w:type="dxa"/>
            <w:tcBorders/>
          </w:tcPr>
          <w:p>
            <w:pPr>
              <w:pStyle w:val="style0"/>
              <w:spacing w:lineRule="auto" w:line="360"/>
              <w:jc w:val="both"/>
              <w:rPr>
                <w:rFonts w:ascii="Times New Roman" w:cs="Times New Roman" w:hAnsi="Times New Roman"/>
                <w:b/>
                <w:sz w:val="24"/>
                <w:szCs w:val="24"/>
              </w:rPr>
            </w:pPr>
          </w:p>
        </w:tc>
        <w:tc>
          <w:tcPr>
            <w:tcW w:w="1623" w:type="dxa"/>
            <w:tcBorders/>
          </w:tcPr>
          <w:p>
            <w:pPr>
              <w:pStyle w:val="style0"/>
              <w:spacing w:lineRule="auto" w:line="360"/>
              <w:jc w:val="both"/>
              <w:rPr>
                <w:rFonts w:ascii="Times New Roman" w:cs="Times New Roman" w:hAnsi="Times New Roman"/>
                <w:b/>
                <w:sz w:val="24"/>
                <w:szCs w:val="24"/>
              </w:rPr>
            </w:pPr>
          </w:p>
        </w:tc>
        <w:tc>
          <w:tcPr>
            <w:tcW w:w="1143" w:type="dxa"/>
            <w:tcBorders/>
          </w:tcPr>
          <w:p>
            <w:pPr>
              <w:pStyle w:val="style0"/>
              <w:spacing w:lineRule="auto" w:line="360"/>
              <w:jc w:val="both"/>
              <w:rPr>
                <w:rFonts w:ascii="Times New Roman" w:cs="Times New Roman" w:hAnsi="Times New Roman"/>
                <w:b/>
                <w:sz w:val="24"/>
                <w:szCs w:val="24"/>
              </w:rPr>
            </w:pPr>
          </w:p>
        </w:tc>
      </w:tr>
      <w:tr>
        <w:tblPrEx/>
        <w:trPr>
          <w:trHeight w:val="782"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Data Analysis</w:t>
            </w:r>
          </w:p>
        </w:tc>
        <w:tc>
          <w:tcPr>
            <w:tcW w:w="696" w:type="dxa"/>
            <w:tcBorders/>
          </w:tcPr>
          <w:p>
            <w:pPr>
              <w:pStyle w:val="style0"/>
              <w:spacing w:lineRule="auto" w:line="360"/>
              <w:jc w:val="both"/>
              <w:rPr>
                <w:rFonts w:ascii="Times New Roman" w:cs="Times New Roman" w:hAnsi="Times New Roman"/>
                <w:b/>
                <w:sz w:val="24"/>
                <w:szCs w:val="24"/>
              </w:rPr>
            </w:pPr>
          </w:p>
        </w:tc>
        <w:tc>
          <w:tcPr>
            <w:tcW w:w="1243" w:type="dxa"/>
            <w:tcBorders/>
          </w:tcPr>
          <w:p>
            <w:pPr>
              <w:pStyle w:val="style0"/>
              <w:spacing w:lineRule="auto" w:line="360"/>
              <w:jc w:val="both"/>
              <w:rPr>
                <w:rFonts w:ascii="Times New Roman" w:cs="Times New Roman" w:hAnsi="Times New Roman"/>
                <w:b/>
                <w:sz w:val="24"/>
                <w:szCs w:val="24"/>
              </w:rPr>
            </w:pPr>
          </w:p>
        </w:tc>
        <w:tc>
          <w:tcPr>
            <w:tcW w:w="989" w:type="dxa"/>
            <w:tcBorders/>
            <w:shd w:val="clear" w:color="auto" w:fill="000000"/>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1229" w:type="dxa"/>
            <w:tcBorders/>
          </w:tcPr>
          <w:p>
            <w:pPr>
              <w:pStyle w:val="style0"/>
              <w:spacing w:lineRule="auto" w:line="360"/>
              <w:jc w:val="both"/>
              <w:rPr>
                <w:rFonts w:ascii="Times New Roman" w:cs="Times New Roman" w:hAnsi="Times New Roman"/>
                <w:b/>
                <w:sz w:val="24"/>
                <w:szCs w:val="24"/>
              </w:rPr>
            </w:pPr>
          </w:p>
        </w:tc>
        <w:tc>
          <w:tcPr>
            <w:tcW w:w="1623" w:type="dxa"/>
            <w:tcBorders/>
          </w:tcPr>
          <w:p>
            <w:pPr>
              <w:pStyle w:val="style0"/>
              <w:spacing w:lineRule="auto" w:line="360"/>
              <w:jc w:val="both"/>
              <w:rPr>
                <w:rFonts w:ascii="Times New Roman" w:cs="Times New Roman" w:hAnsi="Times New Roman"/>
                <w:b/>
                <w:sz w:val="24"/>
                <w:szCs w:val="24"/>
              </w:rPr>
            </w:pPr>
          </w:p>
        </w:tc>
        <w:tc>
          <w:tcPr>
            <w:tcW w:w="1143" w:type="dxa"/>
            <w:tcBorders/>
          </w:tcPr>
          <w:p>
            <w:pPr>
              <w:pStyle w:val="style0"/>
              <w:spacing w:lineRule="auto" w:line="360"/>
              <w:jc w:val="both"/>
              <w:rPr>
                <w:rFonts w:ascii="Times New Roman" w:cs="Times New Roman" w:hAnsi="Times New Roman"/>
                <w:b/>
                <w:sz w:val="24"/>
                <w:szCs w:val="24"/>
              </w:rPr>
            </w:pPr>
          </w:p>
        </w:tc>
      </w:tr>
      <w:tr>
        <w:tblPrEx/>
        <w:trPr>
          <w:trHeight w:val="809"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Submission of first draft of the Dissertation </w:t>
            </w:r>
          </w:p>
        </w:tc>
        <w:tc>
          <w:tcPr>
            <w:tcW w:w="696" w:type="dxa"/>
            <w:tcBorders/>
          </w:tcPr>
          <w:p>
            <w:pPr>
              <w:pStyle w:val="style0"/>
              <w:spacing w:lineRule="auto" w:line="360"/>
              <w:jc w:val="both"/>
              <w:rPr>
                <w:rFonts w:ascii="Times New Roman" w:cs="Times New Roman" w:hAnsi="Times New Roman"/>
                <w:b/>
                <w:sz w:val="24"/>
                <w:szCs w:val="24"/>
              </w:rPr>
            </w:pPr>
          </w:p>
        </w:tc>
        <w:tc>
          <w:tcPr>
            <w:tcW w:w="1243"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989" w:type="dxa"/>
            <w:tcBorders/>
            <w:shd w:val="clear" w:color="auto" w:fill="000000"/>
          </w:tcPr>
          <w:p>
            <w:pPr>
              <w:pStyle w:val="style0"/>
              <w:spacing w:lineRule="auto" w:line="360"/>
              <w:jc w:val="both"/>
              <w:rPr>
                <w:rFonts w:ascii="Times New Roman" w:cs="Times New Roman" w:hAnsi="Times New Roman"/>
                <w:b/>
                <w:sz w:val="24"/>
                <w:szCs w:val="24"/>
              </w:rPr>
            </w:pPr>
          </w:p>
        </w:tc>
        <w:tc>
          <w:tcPr>
            <w:tcW w:w="1229" w:type="dxa"/>
            <w:tcBorders/>
          </w:tcPr>
          <w:p>
            <w:pPr>
              <w:pStyle w:val="style0"/>
              <w:spacing w:lineRule="auto" w:line="360"/>
              <w:jc w:val="both"/>
              <w:rPr>
                <w:rFonts w:ascii="Times New Roman" w:cs="Times New Roman" w:hAnsi="Times New Roman"/>
                <w:b/>
                <w:sz w:val="24"/>
                <w:szCs w:val="24"/>
              </w:rPr>
            </w:pPr>
          </w:p>
        </w:tc>
        <w:tc>
          <w:tcPr>
            <w:tcW w:w="1623" w:type="dxa"/>
            <w:tcBorders/>
          </w:tcPr>
          <w:p>
            <w:pPr>
              <w:pStyle w:val="style0"/>
              <w:spacing w:lineRule="auto" w:line="360"/>
              <w:jc w:val="both"/>
              <w:rPr>
                <w:rFonts w:ascii="Times New Roman" w:cs="Times New Roman" w:hAnsi="Times New Roman"/>
                <w:b/>
                <w:sz w:val="24"/>
                <w:szCs w:val="24"/>
              </w:rPr>
            </w:pPr>
          </w:p>
        </w:tc>
        <w:tc>
          <w:tcPr>
            <w:tcW w:w="1143" w:type="dxa"/>
            <w:tcBorders/>
          </w:tcPr>
          <w:p>
            <w:pPr>
              <w:pStyle w:val="style0"/>
              <w:spacing w:lineRule="auto" w:line="360"/>
              <w:jc w:val="both"/>
              <w:rPr>
                <w:rFonts w:ascii="Times New Roman" w:cs="Times New Roman" w:hAnsi="Times New Roman"/>
                <w:b/>
                <w:sz w:val="24"/>
                <w:szCs w:val="24"/>
              </w:rPr>
            </w:pPr>
          </w:p>
        </w:tc>
      </w:tr>
      <w:tr>
        <w:tblPrEx/>
        <w:trPr>
          <w:trHeight w:val="782"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Submission of the final draft of the dissertation</w:t>
            </w:r>
          </w:p>
        </w:tc>
        <w:tc>
          <w:tcPr>
            <w:tcW w:w="696" w:type="dxa"/>
            <w:tcBorders/>
          </w:tcPr>
          <w:p>
            <w:pPr>
              <w:pStyle w:val="style0"/>
              <w:spacing w:lineRule="auto" w:line="360"/>
              <w:jc w:val="both"/>
              <w:rPr>
                <w:rFonts w:ascii="Times New Roman" w:cs="Times New Roman" w:hAnsi="Times New Roman"/>
                <w:b/>
                <w:sz w:val="24"/>
                <w:szCs w:val="24"/>
              </w:rPr>
            </w:pPr>
          </w:p>
        </w:tc>
        <w:tc>
          <w:tcPr>
            <w:tcW w:w="1243"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1229" w:type="dxa"/>
            <w:tcBorders/>
            <w:shd w:val="clear" w:color="auto" w:fill="000000"/>
          </w:tcPr>
          <w:p>
            <w:pPr>
              <w:pStyle w:val="style0"/>
              <w:spacing w:lineRule="auto" w:line="360"/>
              <w:jc w:val="both"/>
              <w:rPr>
                <w:rFonts w:ascii="Times New Roman" w:cs="Times New Roman" w:hAnsi="Times New Roman"/>
                <w:b/>
                <w:sz w:val="24"/>
                <w:szCs w:val="24"/>
              </w:rPr>
            </w:pPr>
          </w:p>
        </w:tc>
        <w:tc>
          <w:tcPr>
            <w:tcW w:w="1623" w:type="dxa"/>
            <w:tcBorders/>
          </w:tcPr>
          <w:p>
            <w:pPr>
              <w:pStyle w:val="style0"/>
              <w:spacing w:lineRule="auto" w:line="360"/>
              <w:jc w:val="both"/>
              <w:rPr>
                <w:rFonts w:ascii="Times New Roman" w:cs="Times New Roman" w:hAnsi="Times New Roman"/>
                <w:b/>
                <w:sz w:val="24"/>
                <w:szCs w:val="24"/>
              </w:rPr>
            </w:pPr>
          </w:p>
        </w:tc>
        <w:tc>
          <w:tcPr>
            <w:tcW w:w="1143" w:type="dxa"/>
            <w:tcBorders/>
          </w:tcPr>
          <w:p>
            <w:pPr>
              <w:pStyle w:val="style0"/>
              <w:spacing w:lineRule="auto" w:line="360"/>
              <w:jc w:val="both"/>
              <w:rPr>
                <w:rFonts w:ascii="Times New Roman" w:cs="Times New Roman" w:hAnsi="Times New Roman"/>
                <w:b/>
                <w:sz w:val="24"/>
                <w:szCs w:val="24"/>
              </w:rPr>
            </w:pPr>
          </w:p>
        </w:tc>
      </w:tr>
      <w:tr>
        <w:tblPrEx/>
        <w:trPr>
          <w:trHeight w:val="809"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Oral presentations (viva voce) of research findings</w:t>
            </w:r>
          </w:p>
        </w:tc>
        <w:tc>
          <w:tcPr>
            <w:tcW w:w="696" w:type="dxa"/>
            <w:tcBorders/>
          </w:tcPr>
          <w:p>
            <w:pPr>
              <w:pStyle w:val="style0"/>
              <w:spacing w:lineRule="auto" w:line="360"/>
              <w:jc w:val="both"/>
              <w:rPr>
                <w:rFonts w:ascii="Times New Roman" w:cs="Times New Roman" w:hAnsi="Times New Roman"/>
                <w:b/>
                <w:sz w:val="24"/>
                <w:szCs w:val="24"/>
              </w:rPr>
            </w:pPr>
          </w:p>
        </w:tc>
        <w:tc>
          <w:tcPr>
            <w:tcW w:w="1243"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1229" w:type="dxa"/>
            <w:tcBorders/>
          </w:tcPr>
          <w:p>
            <w:pPr>
              <w:pStyle w:val="style0"/>
              <w:spacing w:lineRule="auto" w:line="360"/>
              <w:jc w:val="both"/>
              <w:rPr>
                <w:rFonts w:ascii="Times New Roman" w:cs="Times New Roman" w:hAnsi="Times New Roman"/>
                <w:b/>
                <w:sz w:val="24"/>
                <w:szCs w:val="24"/>
              </w:rPr>
            </w:pPr>
          </w:p>
        </w:tc>
        <w:tc>
          <w:tcPr>
            <w:tcW w:w="1623" w:type="dxa"/>
            <w:tcBorders/>
            <w:shd w:val="clear" w:color="auto" w:fill="000000"/>
          </w:tcPr>
          <w:p>
            <w:pPr>
              <w:pStyle w:val="style0"/>
              <w:spacing w:lineRule="auto" w:line="360"/>
              <w:jc w:val="both"/>
              <w:rPr>
                <w:rFonts w:ascii="Times New Roman" w:cs="Times New Roman" w:hAnsi="Times New Roman"/>
                <w:b/>
                <w:sz w:val="24"/>
                <w:szCs w:val="24"/>
              </w:rPr>
            </w:pPr>
          </w:p>
        </w:tc>
        <w:tc>
          <w:tcPr>
            <w:tcW w:w="1143" w:type="dxa"/>
            <w:tcBorders>
              <w:bottom w:val="single" w:sz="4" w:space="0" w:color="000000"/>
            </w:tcBorders>
          </w:tcPr>
          <w:p>
            <w:pPr>
              <w:pStyle w:val="style0"/>
              <w:spacing w:lineRule="auto" w:line="360"/>
              <w:jc w:val="both"/>
              <w:rPr>
                <w:rFonts w:ascii="Times New Roman" w:cs="Times New Roman" w:hAnsi="Times New Roman"/>
                <w:b/>
                <w:sz w:val="24"/>
                <w:szCs w:val="24"/>
              </w:rPr>
            </w:pPr>
          </w:p>
        </w:tc>
      </w:tr>
      <w:tr>
        <w:tblPrEx/>
        <w:trPr>
          <w:trHeight w:val="809" w:hRule="atLeast"/>
        </w:trPr>
        <w:tc>
          <w:tcPr>
            <w:tcW w:w="175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Submission of three bound copies of Dissertations to the Research Supervisor</w:t>
            </w:r>
          </w:p>
        </w:tc>
        <w:tc>
          <w:tcPr>
            <w:tcW w:w="696" w:type="dxa"/>
            <w:tcBorders/>
          </w:tcPr>
          <w:p>
            <w:pPr>
              <w:pStyle w:val="style0"/>
              <w:spacing w:lineRule="auto" w:line="360"/>
              <w:jc w:val="both"/>
              <w:rPr>
                <w:rFonts w:ascii="Times New Roman" w:cs="Times New Roman" w:hAnsi="Times New Roman"/>
                <w:b/>
                <w:sz w:val="24"/>
                <w:szCs w:val="24"/>
              </w:rPr>
            </w:pPr>
          </w:p>
        </w:tc>
        <w:tc>
          <w:tcPr>
            <w:tcW w:w="1243"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989" w:type="dxa"/>
            <w:tcBorders/>
          </w:tcPr>
          <w:p>
            <w:pPr>
              <w:pStyle w:val="style0"/>
              <w:spacing w:lineRule="auto" w:line="360"/>
              <w:jc w:val="both"/>
              <w:rPr>
                <w:rFonts w:ascii="Times New Roman" w:cs="Times New Roman" w:hAnsi="Times New Roman"/>
                <w:b/>
                <w:sz w:val="24"/>
                <w:szCs w:val="24"/>
              </w:rPr>
            </w:pPr>
          </w:p>
        </w:tc>
        <w:tc>
          <w:tcPr>
            <w:tcW w:w="1229" w:type="dxa"/>
            <w:tcBorders/>
          </w:tcPr>
          <w:p>
            <w:pPr>
              <w:pStyle w:val="style0"/>
              <w:spacing w:lineRule="auto" w:line="360"/>
              <w:jc w:val="both"/>
              <w:rPr>
                <w:rFonts w:ascii="Times New Roman" w:cs="Times New Roman" w:hAnsi="Times New Roman"/>
                <w:b/>
                <w:sz w:val="24"/>
                <w:szCs w:val="24"/>
              </w:rPr>
            </w:pPr>
          </w:p>
        </w:tc>
        <w:tc>
          <w:tcPr>
            <w:tcW w:w="1623" w:type="dxa"/>
            <w:tcBorders/>
            <w:shd w:val="clear" w:color="auto" w:fill="000000"/>
          </w:tcPr>
          <w:p>
            <w:pPr>
              <w:pStyle w:val="style0"/>
              <w:spacing w:lineRule="auto" w:line="360"/>
              <w:jc w:val="both"/>
              <w:rPr>
                <w:rFonts w:ascii="Times New Roman" w:cs="Times New Roman" w:hAnsi="Times New Roman"/>
                <w:b/>
                <w:sz w:val="24"/>
                <w:szCs w:val="24"/>
              </w:rPr>
            </w:pPr>
          </w:p>
          <w:p>
            <w:pPr>
              <w:pStyle w:val="style0"/>
              <w:tabs>
                <w:tab w:val="left" w:leader="none" w:pos="1182"/>
              </w:tabs>
              <w:spacing w:lineRule="auto" w:line="360"/>
              <w:rPr>
                <w:rFonts w:ascii="Times New Roman" w:cs="Times New Roman" w:hAnsi="Times New Roman"/>
                <w:b/>
                <w:sz w:val="24"/>
                <w:szCs w:val="24"/>
              </w:rPr>
            </w:pPr>
            <w:r>
              <w:rPr>
                <w:rFonts w:ascii="Times New Roman" w:cs="Times New Roman" w:hAnsi="Times New Roman"/>
                <w:b/>
                <w:sz w:val="24"/>
                <w:szCs w:val="24"/>
              </w:rPr>
              <w:tab/>
            </w:r>
          </w:p>
          <w:p>
            <w:pPr>
              <w:pStyle w:val="style0"/>
              <w:spacing w:lineRule="auto" w:line="360"/>
              <w:jc w:val="center"/>
              <w:rPr>
                <w:rFonts w:ascii="Times New Roman" w:cs="Times New Roman" w:hAnsi="Times New Roman"/>
                <w:b/>
                <w:sz w:val="24"/>
                <w:szCs w:val="24"/>
              </w:rPr>
            </w:pPr>
          </w:p>
        </w:tc>
        <w:tc>
          <w:tcPr>
            <w:tcW w:w="1143" w:type="dxa"/>
            <w:tcBorders>
              <w:bottom w:val="nil"/>
            </w:tcBorders>
          </w:tcPr>
          <w:p>
            <w:pPr>
              <w:pStyle w:val="style0"/>
              <w:spacing w:lineRule="auto" w:line="360"/>
              <w:jc w:val="both"/>
              <w:rPr>
                <w:rFonts w:ascii="Times New Roman" w:cs="Times New Roman" w:hAnsi="Times New Roman"/>
                <w:b/>
                <w:sz w:val="24"/>
                <w:szCs w:val="24"/>
                <w:highlight w:val="black"/>
              </w:rPr>
            </w:pPr>
          </w:p>
        </w:tc>
      </w:tr>
      <w:bookmarkStart w:id="36" w:name="_Toc125582536"/>
    </w:tbl>
    <w:p>
      <w:pPr>
        <w:pStyle w:val="style2"/>
        <w:spacing w:lineRule="auto" w:line="360"/>
        <w:rPr>
          <w:sz w:val="24"/>
          <w:szCs w:val="24"/>
        </w:rPr>
      </w:pPr>
      <w:r>
        <w:rPr>
          <w:sz w:val="24"/>
          <w:szCs w:val="24"/>
        </w:rPr>
        <w:t>3.9. Budget</w:t>
      </w:r>
      <w:bookmarkEnd w:id="36"/>
    </w:p>
    <w:tbl>
      <w:tblPr>
        <w:tblStyle w:val="style154"/>
        <w:tblW w:w="0" w:type="auto"/>
        <w:tblInd w:w="360" w:type="dxa"/>
        <w:tblLook w:val="04A0" w:firstRow="1" w:lastRow="0" w:firstColumn="1" w:lastColumn="0" w:noHBand="0" w:noVBand="1"/>
      </w:tblPr>
      <w:tblGrid>
        <w:gridCol w:w="2216"/>
        <w:gridCol w:w="2209"/>
        <w:gridCol w:w="2210"/>
        <w:gridCol w:w="2210"/>
      </w:tblGrid>
      <w:tr>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ITEM</w:t>
            </w:r>
          </w:p>
        </w:tc>
        <w:tc>
          <w:tcPr>
            <w:tcW w:w="2209"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QUANTITY</w:t>
            </w:r>
          </w:p>
        </w:tc>
        <w:tc>
          <w:tcPr>
            <w:tcW w:w="2210"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AMOUNT (KWACHA)</w:t>
            </w:r>
          </w:p>
        </w:tc>
        <w:tc>
          <w:tcPr>
            <w:tcW w:w="2210"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TOTAL (KWACHA)</w:t>
            </w:r>
          </w:p>
        </w:tc>
      </w:tr>
      <w:tr>
        <w:tblPrEx/>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Printing proposal</w:t>
            </w:r>
          </w:p>
        </w:tc>
        <w:tc>
          <w:tcPr>
            <w:tcW w:w="220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100pages (Estimated whole process)</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K100/page</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10,000</w:t>
            </w:r>
          </w:p>
        </w:tc>
      </w:tr>
      <w:tr>
        <w:tblPrEx/>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 xml:space="preserve">Printing questionnaires </w:t>
            </w:r>
          </w:p>
        </w:tc>
        <w:tc>
          <w:tcPr>
            <w:tcW w:w="220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50 copies</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K100/page</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5,000</w:t>
            </w:r>
          </w:p>
        </w:tc>
      </w:tr>
      <w:tr>
        <w:tblPrEx/>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Proposal binding</w:t>
            </w:r>
          </w:p>
        </w:tc>
        <w:tc>
          <w:tcPr>
            <w:tcW w:w="220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K1000</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1,000</w:t>
            </w:r>
          </w:p>
        </w:tc>
      </w:tr>
      <w:tr>
        <w:tblPrEx/>
        <w:trPr>
          <w:trHeight w:val="70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Report printing &amp; Binding</w:t>
            </w:r>
          </w:p>
        </w:tc>
        <w:tc>
          <w:tcPr>
            <w:tcW w:w="220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50 pages (3 Copies)</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K100/page (printing), K1000/copy (binding)</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18,000</w:t>
            </w:r>
          </w:p>
        </w:tc>
      </w:tr>
      <w:tr>
        <w:tblPrEx/>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Phone calls</w:t>
            </w:r>
          </w:p>
        </w:tc>
        <w:tc>
          <w:tcPr>
            <w:tcW w:w="220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300 minutes</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K3,500</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3,500</w:t>
            </w:r>
          </w:p>
        </w:tc>
      </w:tr>
      <w:tr>
        <w:tblPrEx/>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Transport</w:t>
            </w:r>
          </w:p>
        </w:tc>
        <w:tc>
          <w:tcPr>
            <w:tcW w:w="2209" w:type="dxa"/>
            <w:tcBorders/>
          </w:tcPr>
          <w:p>
            <w:pPr>
              <w:pStyle w:val="style0"/>
              <w:spacing w:lineRule="auto" w:line="360"/>
              <w:jc w:val="both"/>
              <w:rPr>
                <w:rFonts w:ascii="Times New Roman" w:cs="Times New Roman" w:hAnsi="Times New Roman"/>
                <w:sz w:val="24"/>
                <w:szCs w:val="24"/>
              </w:rPr>
            </w:pP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K10,000</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10,000</w:t>
            </w:r>
          </w:p>
        </w:tc>
      </w:tr>
      <w:tr>
        <w:tblPrEx/>
        <w:trPr>
          <w:trHeight w:val="747"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Voice recorder</w:t>
            </w:r>
          </w:p>
        </w:tc>
        <w:tc>
          <w:tcPr>
            <w:tcW w:w="2209"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2 Voice recorders</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K7,000</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14,000</w:t>
            </w:r>
          </w:p>
        </w:tc>
      </w:tr>
      <w:tr>
        <w:tblPrEx/>
        <w:trPr>
          <w:trHeight w:val="789" w:hRule="atLeast"/>
        </w:trPr>
        <w:tc>
          <w:tcPr>
            <w:tcW w:w="2216"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Contingency</w:t>
            </w:r>
          </w:p>
        </w:tc>
        <w:tc>
          <w:tcPr>
            <w:tcW w:w="2209" w:type="dxa"/>
            <w:tcBorders/>
          </w:tcPr>
          <w:p>
            <w:pPr>
              <w:pStyle w:val="style0"/>
              <w:spacing w:lineRule="auto" w:line="360"/>
              <w:jc w:val="both"/>
              <w:rPr>
                <w:rFonts w:ascii="Times New Roman" w:cs="Times New Roman" w:hAnsi="Times New Roman"/>
                <w:sz w:val="24"/>
                <w:szCs w:val="24"/>
              </w:rPr>
            </w:pP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K10,000</w:t>
            </w:r>
          </w:p>
        </w:tc>
        <w:tc>
          <w:tcPr>
            <w:tcW w:w="2210" w:type="dxa"/>
            <w:tcBorders/>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10,000</w:t>
            </w:r>
          </w:p>
        </w:tc>
      </w:tr>
      <w:tr>
        <w:tblPrEx/>
        <w:trPr>
          <w:trHeight w:val="789" w:hRule="atLeast"/>
        </w:trPr>
        <w:tc>
          <w:tcPr>
            <w:tcW w:w="2216" w:type="dxa"/>
            <w:tcBorders/>
          </w:tcPr>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GRAND TOTAL</w:t>
            </w:r>
          </w:p>
        </w:tc>
        <w:tc>
          <w:tcPr>
            <w:tcW w:w="2209" w:type="dxa"/>
            <w:tcBorders/>
          </w:tcPr>
          <w:p>
            <w:pPr>
              <w:pStyle w:val="style0"/>
              <w:spacing w:lineRule="auto" w:line="360"/>
              <w:jc w:val="both"/>
              <w:rPr>
                <w:rFonts w:ascii="Times New Roman" w:cs="Times New Roman" w:hAnsi="Times New Roman"/>
                <w:sz w:val="24"/>
                <w:szCs w:val="24"/>
              </w:rPr>
            </w:pPr>
          </w:p>
        </w:tc>
        <w:tc>
          <w:tcPr>
            <w:tcW w:w="2210" w:type="dxa"/>
            <w:tcBorders/>
          </w:tcPr>
          <w:p>
            <w:pPr>
              <w:pStyle w:val="style0"/>
              <w:spacing w:lineRule="auto" w:line="360"/>
              <w:jc w:val="both"/>
              <w:rPr>
                <w:rFonts w:ascii="Times New Roman" w:cs="Times New Roman" w:hAnsi="Times New Roman"/>
                <w:sz w:val="24"/>
                <w:szCs w:val="24"/>
              </w:rPr>
            </w:pPr>
          </w:p>
        </w:tc>
        <w:tc>
          <w:tcPr>
            <w:tcW w:w="2210" w:type="dxa"/>
            <w:tcBorders/>
          </w:tcPr>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rPr>
              <w:t>K71,500.00</w:t>
            </w:r>
          </w:p>
        </w:tc>
      </w:tr>
      <w:bookmarkStart w:id="37" w:name="_Toc125582537"/>
    </w:tbl>
    <w:p>
      <w:pPr>
        <w:pStyle w:val="style1"/>
        <w:spacing w:lineRule="auto" w:line="360"/>
        <w:rPr>
          <w:sz w:val="24"/>
          <w:szCs w:val="24"/>
        </w:rPr>
      </w:pPr>
      <w:r>
        <w:rPr>
          <w:sz w:val="24"/>
          <w:szCs w:val="24"/>
        </w:rPr>
        <w:t>Chapter 4: Data processing and analysis</w:t>
      </w:r>
      <w:bookmarkEnd w:id="37"/>
    </w:p>
    <w:p>
      <w:pPr>
        <w:pStyle w:val="style0"/>
        <w:spacing w:lineRule="auto" w:line="360"/>
        <w:rPr>
          <w:sz w:val="24"/>
          <w:szCs w:val="24"/>
        </w:rPr>
      </w:pPr>
    </w:p>
    <w:p>
      <w:pPr>
        <w:pStyle w:val="style0"/>
        <w:spacing w:lineRule="auto" w:line="360"/>
        <w:jc w:val="both"/>
        <w:rPr>
          <w:rFonts w:ascii="Times New Roman" w:cs="Times New Roman" w:eastAsia="Calibri" w:hAnsi="Times New Roman" w:hint="default"/>
          <w:b/>
          <w:bCs/>
          <w:i w:val="false"/>
          <w:iCs w:val="false"/>
          <w:color w:val="auto"/>
          <w:sz w:val="24"/>
          <w:szCs w:val="24"/>
          <w:highlight w:val="none"/>
          <w:vertAlign w:val="baseline"/>
          <w:em w:val="none"/>
          <w:lang w:val="en-US" w:eastAsia="en-US"/>
        </w:rPr>
      </w:pPr>
      <w:r>
        <w:rPr>
          <w:rFonts w:cs="Times New Roman" w:eastAsia="Calibri" w:hAnsi="Times New Roman" w:hint="default"/>
          <w:b/>
          <w:bCs/>
          <w:i w:val="false"/>
          <w:iCs w:val="false"/>
          <w:color w:val="auto"/>
          <w:sz w:val="24"/>
          <w:szCs w:val="24"/>
          <w:highlight w:val="none"/>
          <w:vertAlign w:val="baseline"/>
          <w:em w:val="none"/>
          <w:lang w:val="en-US" w:eastAsia="en-US"/>
        </w:rPr>
        <w:t>Overview</w:t>
      </w:r>
    </w:p>
    <w:p>
      <w:pPr>
        <w:pStyle w:val="style0"/>
        <w:spacing w:lineRule="auto" w:line="360"/>
        <w:jc w:val="both"/>
        <w:rPr>
          <w:rFonts w:ascii="Times New Roman" w:cs="Times New Roman" w:hAnsi="Times New Roman"/>
          <w:b/>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This chapter intends to substantiate the aim of this study through presumed examined circumstances of the research. Bearing an aim in seeking to understand the effectiveness of Corporate Social Responsibility on customer retention as TNM and FDH links itself to the football league sponsorships, this rsearch premised on respective objectives in order to esatablish so. Which prompted the questionnaire to be constructed in respect to: finding out the extent to which football sponsorship increases TNM and FDH brands visibility among football fans in Malawi, examining the attitude of supporters towards the sponsor (TNM and FDH brands) in relation to football sponsorship of the TNM and FDH Super Leagues. Finally with establishing the football fans’ level of attachment to TNM and FDH services in relation to sponsorship of the leagues.</w:t>
      </w:r>
    </w:p>
    <w:p>
      <w:pPr>
        <w:pStyle w:val="style0"/>
        <w:spacing w:lineRule="auto" w:line="360"/>
        <w:jc w:val="both"/>
        <w:rPr>
          <w:rFonts w:ascii="Times New Roman" w:cs="Times New Roman" w:eastAsia="Calibri" w:hAnsi="Times New Roman" w:hint="default"/>
          <w:b/>
          <w:bCs/>
          <w:i w:val="false"/>
          <w:iCs w:val="false"/>
          <w:color w:val="auto"/>
          <w:sz w:val="24"/>
          <w:szCs w:val="24"/>
          <w:highlight w:val="none"/>
          <w:vertAlign w:val="baseline"/>
          <w:em w:val="none"/>
          <w:lang w:val="en-US" w:eastAsia="en-US"/>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 a: demographic aspects</w:t>
      </w:r>
    </w:p>
    <w:p>
      <w:pPr>
        <w:pStyle w:val="style0"/>
        <w:spacing w:lineRule="auto" w:line="360"/>
        <w:jc w:val="both"/>
        <w:rPr>
          <w:rFonts w:ascii="Times New Roman" w:cs="Times New Roman" w:hAnsi="Times New Roman"/>
          <w:b/>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Demographics</w:t>
      </w:r>
    </w:p>
    <w:p>
      <w:pPr>
        <w:pStyle w:val="style0"/>
        <w:spacing w:lineRule="auto" w:line="360"/>
        <w:jc w:val="both"/>
        <w:rPr>
          <w:rFonts w:ascii="Times New Roman" w:cs="Times New Roman" w:hAnsi="Times New Roman"/>
          <w:b/>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These are characteristics of human populations for purposes of social studies. Well characteristics of the human population for this study were reviewed. This was basically for purposes of fully understanding them in relation to their option of aspects as demographics nearly aid in prediction of likely options into aspects by people with respective characteristics.</w:t>
      </w:r>
    </w:p>
    <w:p>
      <w:pPr>
        <w:pStyle w:val="style0"/>
        <w:spacing w:lineRule="auto" w:line="360"/>
        <w:jc w:val="both"/>
        <w:rPr>
          <w:rFonts w:ascii="Times New Roman" w:cs="Times New Roman" w:hAnsi="Times New Roman"/>
          <w:b/>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Participants education status</w:t>
      </w:r>
    </w:p>
    <w:p>
      <w:pPr>
        <w:pStyle w:val="style0"/>
        <w:spacing w:after="0" w:lineRule="auto" w:line="360"/>
        <w:jc w:val="both"/>
        <w:rPr>
          <w:rFonts w:ascii="Times New Roman" w:cs="Times New Roman" w:hAnsi="Times New Roman"/>
          <w:b/>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As part of the study examination, participants education status was reviewed. In which 8 categories emerged as: none, junior primary, PLSCE, JCE, MSCE, diploma, degree, and masters degree. The study review established that 20% of the study participants bare no education of any sort, 3.3% respectively of the study participants emerged to having attended junior primary school and PLSCE respectively. 6.66% of the study participants alluded to having attended up to JCE, 20% attended MSCE , 36.66% emerged to having attained up to diploma level and the rest of the 10% opted for a degree and one of the study participants opted for having attained a masters degree.</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Participants occupation</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A further area of study was on participants occupation status. From which a review was in the region of self employed, employed, business and other. Well according to the study establishment 2 of the study participants opted for self employment, 21 conceded to being employed and 7 opted for engaging in business. </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eastAsia="Calibri" w:hAnsi="Times New Roman" w:hint="default"/>
          <w:b/>
          <w:bCs/>
          <w:i w:val="false"/>
          <w:iCs w:val="false"/>
          <w:color w:val="auto"/>
          <w:sz w:val="24"/>
          <w:szCs w:val="24"/>
          <w:highlight w:val="none"/>
          <w:vertAlign w:val="baseline"/>
          <w:em w:val="none"/>
          <w:lang w:val="en-US" w:eastAsia="en-US"/>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 b: finding out the extent to which football sponsorship increases TNM and FDH brands visibility among football fans in Malawi</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Participants perception of CSR</w:t>
      </w:r>
    </w:p>
    <w:p>
      <w:pPr>
        <w:pStyle w:val="style0"/>
        <w:spacing w:after="160" w:lineRule="auto" w:line="360"/>
        <w:jc w:val="both"/>
        <w:rPr>
          <w:rFonts w:ascii="Times New Roman" w:cs="Times New Roman" w:hAnsi="Times New Roman"/>
          <w:b w:val="false"/>
          <w:bCs w:val="false"/>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study also examined on the aspect of CSR knowledge status. The study bared 3 options of concession as a yes, a decline as a no and a not applicable. Well the study realization showcased that 66.66% of the study participants conceded of being aware of the notion of CSR while the rest of the 33.33% conceded otherwise by opting for a no, and none conceded to the query as non applicable.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Participants view for CSR as a company role</w:t>
      </w:r>
    </w:p>
    <w:p>
      <w:pPr>
        <w:pStyle w:val="style0"/>
        <w:spacing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study also examined on the participants perception to CSR. Which according to the study was purported as a positive role that is rendered by a company to the society. To which the studies finding from 3 options of Yes for CSR as a positive role, no for otherwise of CSR and NA. according to the study realization 66.66% of the study participants alluded to CSR as a positive role rendered by an organization, 33.33% declined of CSR as a positive role rendered by an organization to the society and 36.66% opted for not applicable.</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CSR adoption per participants organizational afilliation</w:t>
      </w:r>
    </w:p>
    <w:p>
      <w:pPr>
        <w:pStyle w:val="style0"/>
        <w:spacing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CSR adoption per participants organizational affiliation, emerged as an aspect for review per the studies designation. Subject to such 3 options to a study query was constructed bearing the options as: yes (conceding that an organization  engages in CSR, no for an organization not engaging in CSR and not applicable for the query not applying to respective participants. The study findings showcased that : 33.33% conceded to their organizations engagement into CSR, 26.66% conceded to their organizations not engaging to CSR and finally a 40% opted for organizations affiliation not applying to them.</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eastAsia="Calibri" w:hAnsi="Times New Roman" w:hint="default"/>
          <w:b/>
          <w:bCs/>
          <w:i w:val="false"/>
          <w:iCs w:val="false"/>
          <w:color w:val="auto"/>
          <w:sz w:val="24"/>
          <w:szCs w:val="24"/>
          <w:highlight w:val="none"/>
          <w:vertAlign w:val="baseline"/>
          <w:em w:val="none"/>
          <w:lang w:val="en-US" w:eastAsia="en-US"/>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Participants option for CSR option type according to organizational affiliation</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Study participants option for CSR in respect to their organizations’ affiliation was also examined. From which out of the 30 participants of the study 21, representing a 70% emerged of the query not applying to them, respective to their knowledge base and organization affiliation. One emerged with an association with an organization offering CSR in the field of health representing a 3.33%, 4 representing a 13.33% representing an affiliation to organizations offering CSR to sports and education emerged respectively for 8 participants.</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Participants perception on CSR drivers and their drawbacks</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Further examined by the studies approach was the participants conscious on drivers to CSR’s and drawbacks to the same for participants whose organizations engage in CSR.</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study findings established of: 6.66% of the study participants option for their drivers for CSR emerging from globalization and ethics respectively for 4 participants, and 16.66% of the study participants conceded for a driver of brand promotion for their motivation of CSR, while the rest of the 70% of the study participants opted for the query not applying to them.</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Pertaining to drawbacks faced during CSR implementation, the study emerged with the following discovery: of 16.66% of the study participants encountering setbacks in respect to political policies (association of developments to partisanism, and lack of political will), while the rest of the 13.33% declared of their setbacks erupting from corruption. While the rest of the 70% of the study participants had the respective query not applying to them. </w:t>
      </w:r>
    </w:p>
    <w:p>
      <w:pPr>
        <w:pStyle w:val="style0"/>
        <w:spacing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Study participants option for CSR in respect to their organizations’ affiliation was also examined. From which out of the 30 participants of the study 21, representing a 70% emerged of the query not applying to them, respective to their knowledge base and organization affiliation. One emerged with an association with an organization offering CSR in the field of health representing a 3.33%, 4 representing a 13.33% representing an affiliation to organizations offering CSR to sports and education emerged respectively for 8 participants.</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eastAsia="Times New Roman" w:hAnsi="Times New Roman"/>
          <w:sz w:val="24"/>
          <w:szCs w:val="24"/>
          <w:lang w:val="en-ZA" w:eastAsia="en-ZA"/>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Mode of CSR sponsorship per participants perception</w:t>
      </w:r>
    </w:p>
    <w:p>
      <w:pPr>
        <w:pStyle w:val="style0"/>
        <w:spacing w:after="160" w:lineRule="auto" w:line="360"/>
        <w:jc w:val="both"/>
        <w:rPr>
          <w:rFonts w:ascii="Times New Roman" w:cs="Times New Roman" w:eastAsia="Times New Roman" w:hAnsi="Times New Roman"/>
          <w:sz w:val="24"/>
          <w:szCs w:val="24"/>
          <w:lang w:val="en-ZA" w:eastAsia="en-ZA"/>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Mode of CSR sponsorship per stakeholder respectively for stakeholders promoting football was reviewed per the study. This study query revealed of 6.66% of the study participants option to league sponsorship and team sponsorship respectively for 4 clients (namely FDH and TNM). Well the rest of the 86.66% of the study participants had the query not applying to them.</w:t>
      </w:r>
    </w:p>
    <w:p>
      <w:pPr>
        <w:pStyle w:val="style0"/>
        <w:spacing w:after="0" w:lineRule="auto" w:line="360"/>
        <w:jc w:val="both"/>
        <w:rPr>
          <w:rFonts w:ascii="Times New Roman" w:cs="Times New Roman" w:eastAsia="Times New Roman" w:hAnsi="Times New Roman"/>
          <w:sz w:val="24"/>
          <w:szCs w:val="24"/>
          <w:lang w:val="en-ZA" w:eastAsia="en-ZA"/>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Participants perception on CSR sponsorship and longetivity for sponsorship</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According to the study another region of examination was in the period of assumption of sponsorship and the state of a team at assumption of sponsorship. </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Well in the regard for assumption of sponsorship of football regardless of a nature of sponsorship, the query applied to 4 study participants, who respectively opted for period of 16-20 years and less than 5 years of their respective sponsorships. </w:t>
      </w:r>
    </w:p>
    <w:p>
      <w:pPr>
        <w:pStyle w:val="style0"/>
        <w:spacing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While the study established of 6.66% of the study participants conceding to assumption of team sponsorship, at a dire state of the team in regard to team status at the on set of sponsorship.</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974771" cy="3526971"/>
            <wp:effectExtent l="0" t="0" r="0" b="0"/>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Fonts w:ascii="Times New Roman" w:cs="Times New Roman" w:hAnsi="Times New Roman"/>
          <w:noProof/>
          <w:sz w:val="24"/>
          <w:szCs w:val="24"/>
        </w:rPr>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noProof/>
          <w:sz w:val="24"/>
          <w:szCs w:val="24"/>
          <w:lang w:val="en-US"/>
        </w:rPr>
        <w:t>Conclusion</w:t>
      </w:r>
    </w:p>
    <w:p>
      <w:pPr>
        <w:pStyle w:val="style0"/>
        <w:spacing w:lineRule="auto" w:line="36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TNM and FDH sponsorship emerged with a 44.4% per the CSR offering organisations. Which was amongst sports education and health. Whereby sports emerged with a 44.%, education commanding a 44.4% as well, and finally with health comanding an 11.11%. Bearing in mind the sattistics TNM and FDH engagement into CSR, emerges with a substantial impact into CSR award.</w:t>
      </w:r>
    </w:p>
    <w:p>
      <w:pPr>
        <w:pStyle w:val="style0"/>
        <w:spacing w:after="160" w:lineRule="auto" w:line="360"/>
        <w:jc w:val="both"/>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 xml:space="preserve">Part c: </w:t>
      </w: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examining the attitude of supporters towards the sponsor (TNM and FDH brands) in relation to football sponsorship of the TNM and FDH Super Leagues</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Participants perception on customer retention from football sponsorship</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Other aspects of examination according to study were: sponsoring stakeholders perception on football sponsorship promotion and their customer retention status and their rates of customer retention.</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Well findings emerged as 13.33% of the study participants conceded to football sponsorship aiding in customer retention, while the rest of the 86.66% had the query not applying to them.</w:t>
      </w:r>
    </w:p>
    <w:p>
      <w:pPr>
        <w:pStyle w:val="style0"/>
        <w:spacing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While in the regard of a degree/magnitude of the customer retention examined on a: a high level, medium level, low level and NA had the following establishment. That 6.66% of the study participants opted for a high and medium level respectively for 4 participants, while the rest of the 86.66% participants had the query not applying to them</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5725886" cy="5029200"/>
            <wp:effectExtent l="0" t="0" r="0" b="0"/>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rFonts w:ascii="Times New Roman" w:cs="Times New Roman" w:hAnsi="Times New Roman"/>
          <w:noProof/>
          <w:sz w:val="24"/>
          <w:szCs w:val="24"/>
        </w:rPr>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noProof/>
          <w:color w:val="auto"/>
          <w:sz w:val="24"/>
          <w:szCs w:val="24"/>
          <w:highlight w:val="none"/>
          <w:vertAlign w:val="baseline"/>
          <w:em w:val="none"/>
          <w:lang w:val="en-US" w:eastAsia="en-ZA"/>
        </w:rPr>
        <w:t>Participants option for intention of improvement of CSR areas</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Another examined aspect was on the participants option for improvement on the CSR, to increase customer retention. Well a query with 3 options was designated with the options as: more interactions of customer and promoter. Anything other than more interactions of customer and promoter, and finally with Not applicable. </w:t>
      </w:r>
    </w:p>
    <w:p>
      <w:pPr>
        <w:pStyle w:val="style0"/>
        <w:spacing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Well the findings emerged with 13.33% of the study participants option of more interactions of customer and promoter and the rest of the study participants option of not applicable as do not sponsor football in any way.</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ascii="Times New Roman" w:cs="Times New Roman" w:hAnsi="Times New Roman"/>
          <w:noProof/>
          <w:sz w:val="24"/>
          <w:szCs w:val="24"/>
        </w:rPr>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noProof/>
          <w:sz w:val="24"/>
          <w:szCs w:val="24"/>
          <w:lang w:val="en-US"/>
        </w:rPr>
        <w:t>Participants perception on football sponsorship by TNM and FDH and their awareness</w:t>
      </w:r>
    </w:p>
    <w:p>
      <w:pPr>
        <w:pStyle w:val="style0"/>
        <w:spacing w:after="160" w:lineRule="auto" w:line="360"/>
        <w:jc w:val="both"/>
        <w:rPr>
          <w:rFonts w:ascii="Times New Roman" w:cs="Times New Roman" w:hAnsi="Times New Roman"/>
          <w:b/>
          <w:bCs/>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Further reviewed by the study approach was the participants perception on the status of football sponsorship and TNM and FDH awareness.</w:t>
      </w:r>
    </w:p>
    <w:p>
      <w:pPr>
        <w:pStyle w:val="style0"/>
        <w:spacing w:after="160" w:lineRule="auto" w:line="360"/>
        <w:jc w:val="both"/>
        <w:rPr>
          <w:rFonts w:ascii="Times New Roman" w:cs="Times New Roman" w:hAnsi="Times New Roman"/>
          <w:b/>
          <w:bCs/>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From which a perception of football sponsorship was categorized i n 5 options of: excellent, very good, good, bad and not applicable. The finding avowed that 8 and 26.66% of the study participants conceded to the sponsorship of being excellent, 6.66% opted for it as very good, 14 and 46.66% opted for it as good, while the rest of the 6 and 20% of the study participants had the query not applying to them.</w:t>
      </w:r>
    </w:p>
    <w:p>
      <w:pPr>
        <w:pStyle w:val="style0"/>
        <w:spacing w:after="160" w:lineRule="auto" w:line="360"/>
        <w:jc w:val="both"/>
        <w:rPr>
          <w:rFonts w:ascii="Times New Roman" w:cs="Times New Roman" w:hAnsi="Times New Roman"/>
          <w:b/>
          <w:bCs/>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While on FDH and TNM awareness, the study approach bared 3 options of: yes (for their brands assuming awareness through football promotion), no (for their brands not assuming awareness through football promotion), NA (for the query not applying to them). Well the study discovery indicated of: 24 and 80% of the study participants opted for sponsorship leading to TNM and FDH brand awareness, the rest of the 6 and 20% of the study participants opted for the query not applying to them.</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4572000" cy="2743200"/>
            <wp:effectExtent l="0" t="0" r="0" b="0"/>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cs="Times New Roman" w:hAnsi="Times New Roman"/>
          <w:noProof/>
          <w:sz w:val="24"/>
          <w:szCs w:val="24"/>
        </w:rPr>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noProof/>
          <w:sz w:val="24"/>
          <w:szCs w:val="24"/>
          <w:lang w:val="en-US"/>
        </w:rPr>
        <w:t>Conclussion</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lang w:val="en-US"/>
        </w:rPr>
        <w:t>Customer attitude towards TNM and FDH sponsorship emerged with a positive feedback. The study finding established of 26.6% conceeding to a perception of an excellent relationship with the sponsors, 6.66% conceded to the partnership as very good and with a 46.6% alluded to the partership as good with the rest of the study particpants conceeding the not applicable as are not part of the supporters.</w:t>
      </w:r>
    </w:p>
    <w:p>
      <w:pPr>
        <w:pStyle w:val="style0"/>
        <w:spacing w:after="160" w:lineRule="auto" w:line="360"/>
        <w:jc w:val="both"/>
        <w:rPr>
          <w:rFonts w:ascii="Times New Roman" w:cs="Times New Roman" w:hAnsi="Times New Roman"/>
          <w:b/>
          <w:bCs/>
          <w:noProof/>
          <w:sz w:val="24"/>
          <w:szCs w:val="24"/>
          <w:lang w:val="en-US"/>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Part d: establishing the football fans’ level of attachment to TNM and FDH services in relation to sponsorship of the leagues.</w:t>
      </w:r>
    </w:p>
    <w:p>
      <w:pPr>
        <w:pStyle w:val="style0"/>
        <w:spacing w:lineRule="auto" w:line="360"/>
        <w:jc w:val="both"/>
        <w:rPr>
          <w:rFonts w:ascii="Times New Roman" w:cs="Times New Roman" w:hAnsi="Times New Roman"/>
          <w:sz w:val="24"/>
          <w:szCs w:val="24"/>
        </w:rPr>
      </w:pPr>
      <w:r>
        <w:rPr>
          <w:rFonts w:ascii="Times New Roman" w:cs="Times New Roman" w:hAnsi="Times New Roman"/>
          <w:b/>
          <w:bCs/>
          <w:noProof/>
          <w:sz w:val="24"/>
          <w:szCs w:val="24"/>
          <w:lang w:val="en-US"/>
        </w:rPr>
        <w:t>Study participants perception on customer retention influenced by football sponsorship</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Modes of brand awareness and factors of customer retention were also an aspect reviewed by the study. From which a mode of brand awareness had 3 options of: 1 for sponsorship reaching to football community, 2 for anything other than sponsorship reaching to football community, and 3 for not applicable. While for customer retention options were 6 as: 1 for adequate prize money, 2 for sound league schedules, 3 for engagement with fans, 4 for not applicable, 5 for other and 6 for improve footballing infrastructure.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Well the study findings emerged as: 80% option for sponsorship reaching out to footballing community (as such catapulting TNM and FDH brand among the footballing community) while the rest of the 20% the study participants opted for not applicable.</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On the other hand 16.66% opted adequate prize money as a driver for customer retention, 46.66% opted for fans engagement and the rest of the 33.33% opted for improving footballing infrastructure as aspects of captivating for customer retention within FDH and TNM.</w:t>
      </w:r>
    </w:p>
    <w:p>
      <w:pPr>
        <w:pStyle w:val="style0"/>
        <w:spacing w:lineRule="auto" w:line="360"/>
        <w:jc w:val="both"/>
        <w:rPr>
          <w:rFonts w:ascii="Times New Roman" w:cs="Times New Roman" w:hAnsi="Times New Roman"/>
          <w:sz w:val="24"/>
          <w:szCs w:val="24"/>
        </w:rPr>
      </w:pP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r>
      <w:r>
        <w:rPr>
          <w:rFonts w:ascii="Times New Roman" w:cs="Times New Roman" w:hAnsi="Times New Roman"/>
          <w:noProof/>
          <w:sz w:val="24"/>
          <w:szCs w:val="24"/>
        </w:rPr>
        <w:drawing>
          <wp:inline distL="114300" distT="0" distB="0" distR="114300">
            <wp:extent cx="5029200" cy="4114800"/>
            <wp:effectExtent l="0" t="0" r="0" b="0"/>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rFonts w:ascii="Times New Roman" w:cs="Times New Roman" w:hAnsi="Times New Roman"/>
          <w:noProof/>
          <w:sz w:val="24"/>
          <w:szCs w:val="24"/>
        </w:rPr>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On a final note participants perception on whether TNM brand and FDH perpetrate for customer retention was examined. With a query soliciting so emerging with 3 options of yes, no and not applicable. While on mode of customer retention bared 3 options of: 1 soliciting for fans patronization of promoters business, 2 for other than soliciting for fans patronization of promoters business, and 3 for not applicable.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Well the study finding revealed that: 80% of the study participants conceded to the FDH and TNM sponsorship promoting customer retention while the rest of the 20% study participants had the query not applying to them.</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Whereas 80% opted to TNM and FHD leading to customer retention for the footballing sponsors by opting sponsorship solicits for fans patronization of promoters business, while the rest of the 20% opted for the query not applying to them.</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Conclusion</w:t>
      </w:r>
    </w:p>
    <w:p>
      <w:pPr>
        <w:pStyle w:val="style0"/>
        <w:spacing w:after="160" w:lineRule="auto" w:line="360"/>
        <w:jc w:val="both"/>
        <w:rPr>
          <w:rFonts w:ascii="Times New Roman" w:cs="Times New Roman" w:hAnsi="Times New Roman"/>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According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objective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intention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establishment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extents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TNM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FDH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brand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visibility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among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football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fans,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there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emerged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100%</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such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supporters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who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alluded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being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aware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TNM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FDH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brands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due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their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football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sponsorship.</w:t>
      </w:r>
    </w:p>
    <w:p>
      <w:pPr>
        <w:pStyle w:val="style0"/>
        <w:spacing w:after="160"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p>
    <w:p>
      <w:pPr>
        <w:pStyle w:val="style0"/>
        <w:spacing w:lineRule="auto" w:line="360"/>
        <w:rPr>
          <w:color w:val="auto"/>
          <w:sz w:val="24"/>
          <w:szCs w:val="24"/>
        </w:rPr>
      </w:pPr>
      <w:r>
        <w:rPr>
          <w:sz w:val="24"/>
          <w:szCs w:val="24"/>
        </w:rPr>
      </w:r>
      <w:r>
        <w:rPr>
          <w:sz w:val="24"/>
          <w:szCs w:val="24"/>
        </w:rPr>
      </w:r>
      <w:r>
        <w:rPr>
          <w:sz w:val="24"/>
          <w:szCs w:val="24"/>
        </w:rPr>
      </w:r>
      <w:r>
        <w:rPr>
          <w:sz w:val="24"/>
          <w:szCs w:val="24"/>
        </w:rPr>
        <w:drawing>
          <wp:inline distL="114300" distT="0" distB="0" distR="114300">
            <wp:extent cx="5029200" cy="4114800"/>
            <wp:effectExtent l="0" t="0" r="0" b="0"/>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Pr>
          <w:sz w:val="24"/>
          <w:szCs w:val="24"/>
        </w:rPr>
      </w:r>
      <w:bookmarkStart w:id="38" w:name="_Toc125582538"/>
    </w:p>
    <w:p>
      <w:pPr>
        <w:pStyle w:val="style0"/>
        <w:spacing w:lineRule="auto" w:line="360"/>
        <w:rPr>
          <w:color w:val="auto"/>
          <w:sz w:val="24"/>
          <w:szCs w:val="24"/>
        </w:rPr>
      </w:pPr>
    </w:p>
    <w:p>
      <w:pPr>
        <w:pStyle w:val="style0"/>
        <w:spacing w:lineRule="auto" w:line="360"/>
        <w:rPr>
          <w:color w:val="auto"/>
          <w:sz w:val="24"/>
          <w:szCs w:val="24"/>
        </w:rPr>
      </w:pPr>
    </w:p>
    <w:p>
      <w:pPr>
        <w:pStyle w:val="style0"/>
        <w:spacing w:lineRule="auto" w:line="360"/>
        <w:rPr>
          <w:color w:val="auto"/>
          <w:sz w:val="24"/>
          <w:szCs w:val="24"/>
        </w:rPr>
      </w:pPr>
    </w:p>
    <w:p>
      <w:pPr>
        <w:pStyle w:val="style0"/>
        <w:spacing w:lineRule="auto" w:line="360"/>
        <w:rPr>
          <w:color w:val="auto"/>
          <w:sz w:val="24"/>
          <w:szCs w:val="24"/>
        </w:rPr>
      </w:pPr>
    </w:p>
    <w:p>
      <w:pPr>
        <w:pStyle w:val="style0"/>
        <w:spacing w:lineRule="auto" w:line="360"/>
        <w:rPr>
          <w:color w:val="auto"/>
          <w:sz w:val="24"/>
          <w:szCs w:val="24"/>
        </w:rPr>
      </w:pPr>
    </w:p>
    <w:p>
      <w:pPr>
        <w:pStyle w:val="style0"/>
        <w:spacing w:lineRule="auto" w:line="360"/>
        <w:rPr>
          <w:color w:val="auto"/>
          <w:sz w:val="24"/>
          <w:szCs w:val="24"/>
        </w:rPr>
      </w:pPr>
      <w:r>
        <w:rPr>
          <w:color w:val="auto"/>
          <w:sz w:val="24"/>
          <w:szCs w:val="24"/>
        </w:rPr>
        <w:t>CHAPTER 5: DISCUSSION, CONCLUSION AD RECOMMENDATIONS</w:t>
      </w:r>
      <w:bookmarkEnd w:id="38"/>
    </w:p>
    <w:bookmarkStart w:id="39" w:name="_Toc125582539"/>
    <w:p>
      <w:pPr>
        <w:pStyle w:val="style0"/>
        <w:spacing w:lineRule="auto" w:line="360"/>
        <w:jc w:val="both"/>
        <w:rPr>
          <w:color w:val="auto"/>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5.0 Overview</w:t>
      </w:r>
    </w:p>
    <w:p>
      <w:pPr>
        <w:pStyle w:val="style0"/>
        <w:spacing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This chapter will discuss about the findings from the study examination and make a conclusion of the assertion in reference to the studies problem. It will thus review prospective’ in line with facts established and  through this studies primary data collection.</w:t>
      </w:r>
    </w:p>
    <w:p>
      <w:pPr>
        <w:pStyle w:val="style0"/>
        <w:spacing w:lineRule="auto" w:line="360"/>
        <w:jc w:val="both"/>
        <w:rPr>
          <w:color w:val="auto"/>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5.1 Discussion and conclusion</w:t>
      </w:r>
    </w:p>
    <w:p>
      <w:pPr>
        <w:pStyle w:val="style0"/>
        <w:spacing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study on an assessment of the impact of football sponsorship as a corporate social responsibility (CSR) in Malawi: a case study of telecommunication network Malawi (TNM) and first discount house bank (FDH), engaged 6 participants bearing no education background representing a 20%, 1 individual and representing a 3.3% having attended junior primary school and PLSCE respectively, 2 individuals and 6.66% of  JCE, 6 individuals and 20% of  MSCE, 11 individuals and 36.66% of a diploma level and 3 individuals and a 10% of a degree. Education status was reviewed as an aspect that would detertimene social charcteristics of subjects based on the exposure that education propagates. Subject to the enlightenment offered by education option of aspects are likely to be determined all through ones enlightenment. Through the research particularly from subjects of JCE and below who made up 53.33% of the study population recorded to bearing no knowledge of CSR's but who are part of the community to the football flatenity. Subjects of such are likely to tip the study to one end bearing their lack of conception of the notion of CSR.</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 studies participants occupation through the study findings energed as: 2 and 6.66% self employed, 21 and 70% employed and 23.33% are business people. With a CSR knowledge status of: 20 and 66.66% aware of CSR and 10 representing a 33.33% not aware.  Which bare an adoption rate of: 10 and 33.33% engage in CSR, 8 and 26.66% do not engage CSR and 12 representing 40% were exempted of the query. With 3.33% offering CSR in health, and 13.33% in sports and education respectively for 8 participants. Whose drivers for engagement into CSR emerged as: 6.66% of the study participants drivers for CSR emerge from globalization and ethics respectively for 4 participants, and 16.66% from brand promotion. With their drawbacks in: politics at 16.66% and 13.33% from corruption. Whereby benefits negligibly access the society as are offered at a corruption basis. Whereby it is almost a case in which subjects pay for a free entity. On the note of politics, the latter constantly hamper CSR as subjects are witnessed to Lesly engage in CSR in respect to policies that empower political practitioners extensive rights to association of developments to the extent of distorting a driver or brand promotion for an investor. Occupation status and education are simultaneous to the determination of the study findings, whereby in the most likely scenario formal occupation is significantly occupied by subjects to have attained higher learning and otherwise for those with lesser learning. In a situation whrerby formal investments likely engage in CSR. Well according to the study finding out of 18 study participants who are employed only 10 are engaged with organisations that engage in CSR.</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Mode of CSR sponsorship per stakeholder respectively showcased  6.66% for league and team sponsorship respectively for 4 clients (namely FDH and TNM). Whose assumption of the same is in 16-20 years and less than 5 years respectively with a dire state of team at assumption for a 6.66%. Which according to the sponsors aids in their products business’s customer retention of the TNM and FDH at a rate of a 13.33%. whose magnitude of reach emerged with a 6.66% share of spoils among a high and medium rate respectively with the rest of the 86.66% bearing exemption of the query. With a 13.33% emergence for requirement of desire for increment of customer retention tipped towards more interactions of customer and promoter. </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Fan base assessment avowed of  8 and 26.66% of sponsorship as excellent, 2 and 6.66% as very good, 14 and 46.66% as good, while the rest of the 6 and 20% of the study participants had the query not applying to them.</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Modes of brand awareness and factors of customer retention brought emergencies of: </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80% for sponsorship reaching out to footballing community (as such catapulting TNM and FDH brand among the footballing community) while the rest of the 20% the study participants opted for not applicable. While factors for customer retention emerged as: 16.66% for adequate prize money as a driver for customer retention, 46.66% for fans engagement and the rest of the 33.33% opted for improving footballing infrastructure. Finally on participants perception on TNM and FDH customer retention 80% of the study participants conceded to the FDH and TNM sponsorship promoting customer retention while the rest of the 20% study participants had the query not applying to them. Whereas 80% opted to TNM and FHD leading to customer retention for the footballing sponsors by opting sponsorship solicits for fans patronization of promoters business, while the rest of the 20% opted for the query not applying to them.</w:t>
      </w:r>
    </w:p>
    <w:p>
      <w:pPr>
        <w:pStyle w:val="style0"/>
        <w:spacing w:after="160" w:lineRule="auto" w:line="360"/>
        <w:jc w:val="both"/>
        <w:rPr>
          <w:b/>
          <w:bCs/>
          <w:color w:val="auto"/>
          <w:sz w:val="24"/>
          <w:szCs w:val="24"/>
        </w:rPr>
      </w:pPr>
      <w:r>
        <w:rPr>
          <w:rFonts w:cs="Times New Roman" w:eastAsia="Calibri" w:hAnsi="Times New Roman" w:hint="default"/>
          <w:b/>
          <w:bCs/>
          <w:i w:val="false"/>
          <w:iCs w:val="false"/>
          <w:color w:val="auto"/>
          <w:sz w:val="24"/>
          <w:szCs w:val="24"/>
          <w:highlight w:val="none"/>
          <w:vertAlign w:val="baseline"/>
          <w:em w:val="none"/>
          <w:lang w:val="en-US" w:eastAsia="en-US"/>
        </w:rPr>
        <w:t>5.2 Reccomendations</w:t>
      </w:r>
    </w:p>
    <w:p>
      <w:pPr>
        <w:pStyle w:val="style0"/>
        <w:spacing w:after="160" w:lineRule="auto" w:line="360"/>
        <w:jc w:val="both"/>
        <w:rPr>
          <w:color w:val="auto"/>
          <w:sz w:val="24"/>
          <w:szCs w:val="24"/>
        </w:rPr>
      </w:pPr>
      <w:r>
        <w:rPr>
          <w:color w:val="auto"/>
          <w:sz w:val="24"/>
          <w:szCs w:val="24"/>
          <w:lang w:val="en-US"/>
        </w:rPr>
        <w:t xml:space="preserve">CSR, self-regulation which aims to contribute to societal goals of a philanthropic, activist, or charitable nature by engaging in or supporting volunteering or ethically oriented practices. As per CSR's aim of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giving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back</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to</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the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community,</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take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part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in</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philanthropic</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causes,</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provide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positive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social</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value, subject to the study on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Corporate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Social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Responsibility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customer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retention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TNM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FDH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links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itself</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to</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the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football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league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sponsorships. The study established of TNM and FDH sponsorship promoting for customer retention for the sponsors, as such the study reccomends for organisations to engage in CSR. As it will not only give back to the society, but as well promote business status.</w:t>
      </w:r>
    </w:p>
    <w:p>
      <w:pPr>
        <w:pStyle w:val="style0"/>
        <w:spacing w:after="160" w:lineRule="auto" w:line="360"/>
        <w:jc w:val="both"/>
        <w:rPr>
          <w:rFonts w:ascii="Times New Roman" w:cs="Times New Roman" w:eastAsia="Calibri" w:hAnsi="Times New Roman" w:hint="default"/>
          <w:b/>
          <w:bCs/>
          <w:i w:val="false"/>
          <w:iCs w:val="false"/>
          <w:color w:val="auto"/>
          <w:sz w:val="24"/>
          <w:szCs w:val="24"/>
          <w:highlight w:val="none"/>
          <w:vertAlign w:val="baseline"/>
          <w:em w:val="none"/>
          <w:lang w:val="en-US" w:eastAsia="en-US"/>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5.3 Areas of future research</w:t>
      </w:r>
    </w:p>
    <w:p>
      <w:pPr>
        <w:pStyle w:val="style0"/>
        <w:spacing w:after="160" w:lineRule="auto" w:line="360"/>
        <w:jc w:val="both"/>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Indepth research into societal needs are a better aspect of review for prospective reserch. As they would aid in the meeting at half way of business investors and the society. Which would aid in adress of needs of both the investor and the society</w:t>
      </w:r>
    </w:p>
    <w:p>
      <w:pPr>
        <w:pStyle w:val="style0"/>
        <w:spacing w:after="160" w:lineRule="auto" w:line="360"/>
        <w:jc w:val="both"/>
        <w:rPr>
          <w:color w:val="auto"/>
          <w:sz w:val="24"/>
          <w:szCs w:val="24"/>
        </w:rPr>
      </w:pPr>
      <w:r>
        <w:rPr>
          <w:rFonts w:ascii="Times New Roman" w:cs="Times New Roman" w:eastAsia="Calibri" w:hAnsi="Times New Roman" w:hint="default"/>
          <w:b/>
          <w:bCs/>
          <w:i w:val="false"/>
          <w:iCs w:val="false"/>
          <w:color w:val="auto"/>
          <w:sz w:val="24"/>
          <w:szCs w:val="24"/>
          <w:highlight w:val="none"/>
          <w:vertAlign w:val="baseline"/>
          <w:em w:val="none"/>
          <w:lang w:val="en-US" w:eastAsia="en-US"/>
        </w:rPr>
        <w:t>5.4 Conclusion</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In reference to the study on an assessment of the impact of football sponsorship as a corporate social responsibility (CSR) in Malawi: a case study of telecommunication network Malawi (TNM) and first discount house bank (FDH). The paper bared an objective which on  understanding the effectiveness of Corporate Social Responsibility on customer retention as TNM and FDH links themselves to football sponsorships. With an unanswered question in  whether every time TNM and FDH sponsors the football events, the organization also manages to retain supporters to the brand and enter into a relationship marketing.</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In light of such this paper designated queries to solicit responses in the regard to establish of customer retention in respect to which avowed of customer retention at a 100% concession to the notion in respect to subjects who had the respective questions applicable. For instance 13.33% of the stakeholders who are sponsors to football alluded to the notion at a 100% rate. The findings emerged as 13.33% of the study participants conceded to football sponsorship aiding in customer retention, while the rest of the 86.66% had the query not applying to them. With an inconsistence in the magnitude of customer retention as a split of the 100% of the 13.33% from the study participants was shared in 50% of 6.66% respectively. In which part of the sponsoring stakeholders alluded to a high customer retention and a medium perpetrated by their respective sponsorships of football. </w:t>
      </w:r>
    </w:p>
    <w:p>
      <w:pPr>
        <w:pStyle w:val="style0"/>
        <w:spacing w:after="160"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 xml:space="preserve">Another of a similar case scenarios was bared witness by the fans stakeholders. Their witness was stricken through queries lodged to them whose realizations from fans perception of awareness of TNM and FDH brand awareness emerged as 24 and 80% of the study participants alluded to football sponsorship catapulting their popularity with the brands of TNM and FDH that eventually leads to patronage of the same. </w:t>
      </w:r>
    </w:p>
    <w:p>
      <w:pPr>
        <w:pStyle w:val="style0"/>
        <w:spacing w:after="160" w:lineRule="auto" w:line="360"/>
        <w:jc w:val="both"/>
        <w:rPr>
          <w:color w:val="auto"/>
          <w:sz w:val="24"/>
          <w:szCs w:val="24"/>
        </w:rPr>
      </w:pPr>
      <w:r>
        <w:rPr>
          <w:color w:val="auto"/>
          <w:sz w:val="24"/>
          <w:szCs w:val="24"/>
          <w:lang w:val="en-US"/>
        </w:rPr>
        <w:t xml:space="preserve">Study participants option for CSR in respect to their organizations’ affiliation was also examined. From which out of the 30 participants of the study 21, representing a 70% emerged of the query not applying to them, respective to their knowledge base and organization affiliation. One emerged with an association with an organization offering CSR in the field of health representing a 3.33%, 4 representing a 13.33% representing an affiliation to organizations offering CSR to sports and education emerged respectively for 8 participants. </w:t>
      </w:r>
    </w:p>
    <w:p>
      <w:pPr>
        <w:pStyle w:val="style0"/>
        <w:spacing w:after="160" w:lineRule="auto" w:line="360"/>
        <w:jc w:val="both"/>
        <w:rPr>
          <w:color w:val="auto"/>
          <w:sz w:val="24"/>
          <w:szCs w:val="24"/>
        </w:rPr>
      </w:pPr>
      <w:r>
        <w:rPr>
          <w:color w:val="auto"/>
          <w:sz w:val="24"/>
          <w:szCs w:val="24"/>
          <w:lang w:val="en-US"/>
        </w:rPr>
        <w:t>Sports sponsorships provide the image of being healthy, young, energetic, fast and vibrant (Jobber, 2007). By collaborating with sports clubs, the company interacts with a brand that symbolises certain attributes. The audience, customers, clients or the users, find the sponsor’s logo and other symbols embedded within the event, game, player, etc., and learn to associate the sponsor with the activity. The connection creates symbioses, and further generates stable conditions for cooperation, which will lead to improved revenue (Jobber, 2007).  The study in tandem with (Jobber, 2007) reviewed aspects to establish of TNM and FDH brands interacting and having their brands promoted. In this light through football sponsorship, it was examined if company brands are promoted.</w:t>
      </w:r>
    </w:p>
    <w:p>
      <w:pPr>
        <w:pStyle w:val="style0"/>
        <w:spacing w:after="160" w:lineRule="auto" w:line="360"/>
        <w:jc w:val="both"/>
        <w:rPr>
          <w:color w:val="auto"/>
          <w:sz w:val="24"/>
          <w:szCs w:val="24"/>
        </w:rPr>
      </w:pPr>
      <w:r>
        <w:rPr>
          <w:color w:val="auto"/>
          <w:sz w:val="24"/>
          <w:szCs w:val="24"/>
          <w:lang w:val="en-US"/>
        </w:rPr>
        <w:t>Well the study findings emerged as: 80% option for sponsorship reaching out to footballing community (as such catapulting TNM and FDH brand among the footballing community) while the rest of the 20% the study participants opted for not applicable. This realisation was in favour of (Jobber’s, 2007) assertion of sports sponsorships provide the image of being healthy, young, energetic, fast and vibrant. whwreby 80% opted to TNM and FHD leading to customer retention for the footballing sponsors by opting sponsorship solicits for fans patronization of promoters business, while the rest of the 20% opted for the query not applying to them.</w:t>
      </w:r>
    </w:p>
    <w:p>
      <w:pPr>
        <w:pStyle w:val="style0"/>
        <w:spacing w:after="160" w:lineRule="auto" w:line="360"/>
        <w:jc w:val="both"/>
        <w:rPr>
          <w:color w:val="auto"/>
          <w:sz w:val="24"/>
          <w:szCs w:val="24"/>
        </w:rPr>
      </w:pPr>
      <w:r>
        <w:rPr>
          <w:color w:val="auto"/>
          <w:sz w:val="24"/>
          <w:szCs w:val="24"/>
          <w:lang w:val="en-US"/>
        </w:rPr>
        <w:t>It has long been shown that one of the main objectives of sponsorship is its effect on sponsors’ brand image, which is achieved through an image transfer from the positive brand image of the sports property to their own (Javalgi, Traylor, Gross, &amp; Lampman, 1994). Well the assertion through the study on an assessment of football sponsorship as a corporate social responsibility (CSR) in Malawi on customer retention: a case study of telecommunication network of Malawi (TNM) and first discount house bank (FDH) sponsorship of super league, premised on participants perception on the status of football sponsorship and TNM and FDH awareness.</w:t>
      </w:r>
    </w:p>
    <w:p>
      <w:pPr>
        <w:pStyle w:val="style0"/>
        <w:spacing w:after="160" w:lineRule="auto" w:line="360"/>
        <w:jc w:val="both"/>
        <w:rPr>
          <w:color w:val="auto"/>
          <w:sz w:val="24"/>
          <w:szCs w:val="24"/>
        </w:rPr>
      </w:pPr>
      <w:r>
        <w:rPr>
          <w:color w:val="auto"/>
          <w:sz w:val="24"/>
          <w:szCs w:val="24"/>
          <w:lang w:val="en-US"/>
        </w:rPr>
        <w:t xml:space="preserve">From which findings avowed that 24 and 80%  representing a 100% of their class in the study participants opted for sponsorship leading to TNM and FDH brand awareness, the rest of the 6 and 20% of the study participants opted for the query not applying to them. With 80% representing a 100% of their class of study participants opting for sponsorship reaching out to footballing community (as such catapulting TNM and FDH brand among the footballing community) while the rest of the 20% the study participants opted for not applicable, conceding to an assertion by Javalgi,. Et al 1994. </w:t>
      </w:r>
    </w:p>
    <w:p>
      <w:pPr>
        <w:pStyle w:val="style0"/>
        <w:spacing w:after="160" w:lineRule="auto" w:line="360"/>
        <w:jc w:val="both"/>
        <w:rPr>
          <w:color w:val="auto"/>
          <w:sz w:val="24"/>
          <w:szCs w:val="24"/>
        </w:rPr>
      </w:pPr>
      <w:r>
        <w:rPr>
          <w:color w:val="auto"/>
          <w:sz w:val="24"/>
          <w:szCs w:val="24"/>
          <w:lang w:val="en-US"/>
        </w:rPr>
        <w:t>According to Donlan, CSR’s foster customer engagement who are taken into a relational level. The study findings concurred with the assertion on both the implementing stakeholders TNM and FDH and the receipting stakeholders, the footballing community.</w:t>
      </w:r>
    </w:p>
    <w:p>
      <w:pPr>
        <w:pStyle w:val="style0"/>
        <w:spacing w:after="160" w:lineRule="auto" w:line="360"/>
        <w:jc w:val="both"/>
        <w:rPr>
          <w:color w:val="auto"/>
          <w:sz w:val="24"/>
          <w:szCs w:val="24"/>
        </w:rPr>
      </w:pPr>
      <w:r>
        <w:rPr>
          <w:color w:val="auto"/>
          <w:sz w:val="24"/>
          <w:szCs w:val="24"/>
          <w:lang w:val="en-US"/>
        </w:rPr>
        <w:t>The implementing stakeholders making up a 13.33% of the study participants representing a 100% of the same, all conceded to football sponsorship aiding in customer retention, while the rest of the 86.66% had the query not applying to them. With a degree of magnitude reviewed at: a high level, medium level, low level and NA had the following establishment. That 6.66% representing a 50% respectively of the implementing stakeholders, of the study participants opted for a high and medium level respectively for 4 participants, while the rest of the 86.66% participants had the query not applying to them. Concurring with Donlan’s findings.</w:t>
      </w:r>
    </w:p>
    <w:p>
      <w:pPr>
        <w:pStyle w:val="style0"/>
        <w:spacing w:after="160" w:lineRule="auto" w:line="360"/>
        <w:jc w:val="both"/>
        <w:rPr>
          <w:color w:val="auto"/>
          <w:sz w:val="24"/>
          <w:szCs w:val="24"/>
        </w:rPr>
      </w:pPr>
      <w:r>
        <w:rPr>
          <w:color w:val="auto"/>
          <w:sz w:val="24"/>
          <w:szCs w:val="24"/>
          <w:lang w:val="en-US"/>
        </w:rPr>
        <w:t>Similarly with the receipting  stakeholders had their perception reviewed on whether TNM brand and FDH perpetrate for customer retention. Which revealed of: 80% of the receipting stakeholders representing a 100% of their class of study participants conceded to the FDH and TNM sponsorship promoting customer retention while the rest of the 20% study participants had the query not applying to them. Whose retention was established of erupting from receipting stakeholders patronizing sponsors businesses as a way of promoting their business/loyalty by a concession of 80% of the study participants who are a 100% of their class. Aspects succumbing to Donlan’s findings.</w:t>
      </w:r>
    </w:p>
    <w:p>
      <w:pPr>
        <w:pStyle w:val="style0"/>
        <w:spacing w:after="160" w:lineRule="auto" w:line="360"/>
        <w:jc w:val="both"/>
        <w:rPr>
          <w:color w:val="auto"/>
          <w:sz w:val="24"/>
          <w:szCs w:val="24"/>
        </w:rPr>
      </w:pPr>
      <w:r>
        <w:rPr>
          <w:color w:val="auto"/>
          <w:sz w:val="24"/>
          <w:szCs w:val="24"/>
          <w:lang w:val="en-US"/>
        </w:rPr>
        <w:t>It is at this juncture therefore that it is without a doubt that football sponsorship by both TNM and FDH is leading to customer retention. Entailing of the worries of unanswered questions of retention of a marketing relationship with stakeholders to football upon sponsorship ruled out.</w:t>
      </w:r>
    </w:p>
    <w:p>
      <w:pPr>
        <w:pStyle w:val="style0"/>
        <w:spacing w:after="160" w:lineRule="auto" w:line="360"/>
        <w:jc w:val="both"/>
        <w:rPr>
          <w:color w:val="auto"/>
          <w:sz w:val="24"/>
          <w:szCs w:val="24"/>
        </w:rPr>
      </w:pPr>
    </w:p>
    <w:p>
      <w:pPr>
        <w:pStyle w:val="style0"/>
        <w:spacing w:after="160" w:lineRule="auto" w:line="360"/>
        <w:jc w:val="both"/>
        <w:rPr>
          <w:color w:val="auto"/>
          <w:sz w:val="24"/>
          <w:szCs w:val="24"/>
        </w:rPr>
      </w:pPr>
    </w:p>
    <w:p>
      <w:pPr>
        <w:pStyle w:val="style0"/>
        <w:spacing w:after="160" w:lineRule="auto" w:line="360"/>
        <w:jc w:val="both"/>
        <w:rPr>
          <w:color w:val="auto"/>
          <w:sz w:val="24"/>
          <w:szCs w:val="24"/>
        </w:rPr>
      </w:pPr>
    </w:p>
    <w:p>
      <w:pPr>
        <w:pStyle w:val="style0"/>
        <w:spacing w:after="160" w:lineRule="auto" w:line="360"/>
        <w:jc w:val="both"/>
        <w:rPr>
          <w:color w:val="auto"/>
          <w:sz w:val="24"/>
          <w:szCs w:val="24"/>
        </w:rPr>
      </w:pPr>
    </w:p>
    <w:p>
      <w:pPr>
        <w:pStyle w:val="style2"/>
        <w:spacing w:lineRule="auto" w:line="360"/>
        <w:jc w:val="both"/>
        <w:rPr>
          <w:color w:val="auto"/>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eastAsia="en-US"/>
        </w:rPr>
        <w:t>It is at this juncture therefore that it is without a doubt that football sponsorship by both TNM and FDH is leading to customer retention. Entailing of the worries of unanswered questions of retention of a marketing relationship with stakeholders to football upon sponsorship ruled out.</w:t>
      </w:r>
    </w:p>
    <w:p>
      <w:pPr>
        <w:pStyle w:val="style2"/>
        <w:spacing w:lineRule="auto" w:line="360"/>
        <w:jc w:val="both"/>
        <w:rPr>
          <w:color w:val="auto"/>
          <w:sz w:val="24"/>
          <w:szCs w:val="24"/>
        </w:rPr>
      </w:pPr>
    </w:p>
    <w:bookmarkEnd w:id="39"/>
    <w:bookmarkEnd w:id="24"/>
    <w:p>
      <w:pPr>
        <w:pStyle w:val="style0"/>
        <w:spacing w:lineRule="auto" w:line="360"/>
        <w:jc w:val="both"/>
        <w:rPr>
          <w:rFonts w:ascii="Times New Roman" w:cs="Times New Roman" w:hAnsi="Times New Roman"/>
          <w:sz w:val="24"/>
          <w:szCs w:val="24"/>
        </w:rPr>
      </w:pPr>
    </w:p>
    <w:sectPr>
      <w:headerReference w:type="even" r:id="rId18"/>
      <w:headerReference w:type="default" r:id="rId19"/>
      <w:headerReference w:type="first" r:id="rId2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0020204"/>
    <w:charset w:val="00"/>
    <w:family w:val="swiss"/>
    <w:pitch w:val="variable"/>
    <w:sig w:usb0="E0002EFF" w:usb1="C000785B" w:usb2="00000009" w:usb3="00000000" w:csb0="000001FF" w:csb1="00000000"/>
  </w:font>
  <w:font w:name="Segoe UI Symbol">
    <w:altName w:val="Segoe UI Symbol"/>
    <w:panose1 w:val="020b0502040000020203"/>
    <w:charset w:val="00"/>
    <w:family w:val="swiss"/>
    <w:pitch w:val="variable"/>
    <w:sig w:usb0="800001E3" w:usb1="1200FFEF" w:usb2="00040000" w:usb3="00000000" w:csb0="00000001"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Segoe UI">
    <w:altName w:val="Segoe UI"/>
    <w:panose1 w:val="020b0502040000020203"/>
    <w:charset w:val="00"/>
    <w:family w:val="swiss"/>
    <w:pitch w:val="variable"/>
    <w:sig w:usb0="E4002EFF" w:usb1="C000E47F" w:usb2="00000009" w:usb3="00000000" w:csb0="000001FF" w:csb1="00000000"/>
  </w:font>
  <w:font w:name="Book Antiqua">
    <w:altName w:val="Book Antiqua"/>
    <w:panose1 w:val="02040602050000030304"/>
    <w:charset w:val="00"/>
    <w:family w:val="roman"/>
    <w:pitch w:val="variable"/>
    <w:sig w:usb0="00000287" w:usb1="00000000" w:usb2="00000000" w:usb3="00000000" w:csb0="0000009F" w:csb1="00000000"/>
  </w:font>
  <w:font w:name="宋体">
    <w:altName w:val="Wingdings 2"/>
    <w:panose1 w:val="05020102010000070707"/>
    <w:charset w:val="02"/>
    <w:family w:val="roman"/>
    <w:pitch w:val="default"/>
    <w:sig w:usb0="00000000" w:usb1="1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44</w:t>
    </w:r>
    <w:r>
      <w:rPr>
        <w:noProof/>
      </w:rPr>
      <w:fldChar w:fldCharType="end"/>
    </w:r>
  </w:p>
  <w:p>
    <w:pPr>
      <w:pStyle w:val="style32"/>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right" w:leader="none" w:pos="8312"/>
      </w:tabs>
      <w:spacing w:after="0" w:lineRule="auto" w:line="240"/>
      <w:rPr/>
    </w:pPr>
    <w:r>
      <w:rPr>
        <w:sz w:val="21"/>
        <w:u w:val="single" w:color="000000"/>
      </w:rPr>
      <w:t>3. Literature review</w:t>
    </w:r>
    <w:r>
      <w:rPr>
        <w:sz w:val="21"/>
        <w:u w:val="single" w:color="000000"/>
      </w:rPr>
      <w:tab/>
    </w:r>
    <w:r>
      <w:rPr/>
      <w:fldChar w:fldCharType="begin"/>
    </w:r>
    <w:r>
      <w:instrText xml:space="preserve"> PAGE   \* MERGEFORMAT </w:instrText>
    </w:r>
    <w:r>
      <w:rPr/>
      <w:fldChar w:fldCharType="separate"/>
    </w:r>
    <w:r>
      <w:rPr>
        <w:noProof/>
        <w:sz w:val="21"/>
        <w:u w:val="single" w:color="000000"/>
      </w:rPr>
      <w:t>20</w:t>
    </w:r>
    <w:r>
      <w:rPr>
        <w:sz w:val="21"/>
        <w:u w:val="single" w:color="000000"/>
      </w:rPr>
      <w:fldChar w:fldCharType="end"/>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right" w:leader="none" w:pos="8312"/>
      </w:tabs>
      <w:spacing w:after="0" w:lineRule="auto" w:line="240"/>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right" w:leader="none" w:pos="8312"/>
      </w:tabs>
      <w:spacing w:after="0" w:lineRule="auto" w:line="240"/>
      <w:rPr/>
    </w:pPr>
    <w:r>
      <w:rPr>
        <w:sz w:val="21"/>
        <w:u w:val="single" w:color="000000"/>
      </w:rPr>
      <w:t>3.</w:t>
    </w:r>
    <w:r>
      <w:rPr>
        <w:sz w:val="21"/>
        <w:u w:val="single" w:color="000000"/>
      </w:rPr>
      <w:tab/>
    </w:r>
    <w:r>
      <w:rPr/>
      <w:fldChar w:fldCharType="begin"/>
    </w:r>
    <w:r>
      <w:instrText xml:space="preserve"> PAGE   \* MERGEFORMAT </w:instrText>
    </w:r>
    <w:r>
      <w:rPr/>
      <w:fldChar w:fldCharType="separate"/>
    </w:r>
    <w:r>
      <w:rPr>
        <w:noProof/>
        <w:sz w:val="21"/>
        <w:u w:val="single" w:color="000000"/>
      </w:rPr>
      <w:t>263</w:t>
    </w:r>
    <w:r>
      <w:rPr>
        <w:sz w:val="21"/>
        <w:u w:val="single" w:color="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5C6F56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0000001"/>
    <w:multiLevelType w:val="multilevel"/>
    <w:tmpl w:val="64C07A72"/>
    <w:lvl w:ilvl="0">
      <w:start w:val="1"/>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4"/>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
    <w:nsid w:val="00000002"/>
    <w:multiLevelType w:val="multilevel"/>
    <w:tmpl w:val="4AAE7D3A"/>
    <w:lvl w:ilvl="0">
      <w:start w:val="1"/>
      <w:numFmt w:val="decimal"/>
      <w:lvlText w:val="%1."/>
      <w:lvlJc w:val="left"/>
      <w:pPr>
        <w:ind w:left="960" w:hanging="360"/>
      </w:pPr>
      <w:rPr>
        <w:rFonts w:hint="default"/>
      </w:rPr>
    </w:lvl>
    <w:lvl w:ilvl="1">
      <w:start w:val="4"/>
      <w:numFmt w:val="decimal"/>
      <w:isLgl/>
      <w:lvlText w:val="%1.%2"/>
      <w:lvlJc w:val="left"/>
      <w:pPr>
        <w:ind w:left="114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460" w:hanging="1440"/>
      </w:pPr>
      <w:rPr>
        <w:rFonts w:hint="default"/>
      </w:rPr>
    </w:lvl>
    <w:lvl w:ilvl="8">
      <w:start w:val="1"/>
      <w:numFmt w:val="decimal"/>
      <w:isLgl/>
      <w:lvlText w:val="%1.%2.%3.%4.%5.%6.%7.%8.%9"/>
      <w:lvlJc w:val="left"/>
      <w:pPr>
        <w:ind w:left="2880" w:hanging="1800"/>
      </w:pPr>
      <w:rPr>
        <w:rFonts w:hint="default"/>
      </w:rPr>
    </w:lvl>
  </w:abstractNum>
  <w:abstractNum w:abstractNumId="3">
    <w:nsid w:val="00000003"/>
    <w:multiLevelType w:val="multilevel"/>
    <w:tmpl w:val="0B4E0ED6"/>
    <w:lvl w:ilvl="0">
      <w:start w:val="1"/>
      <w:numFmt w:val="decimal"/>
      <w:lvlText w:val="%1."/>
      <w:lvlJc w:val="left"/>
      <w:pPr>
        <w:ind w:left="630" w:hanging="360"/>
      </w:pPr>
      <w:rPr>
        <w:rFonts w:hint="default"/>
      </w:rPr>
    </w:lvl>
    <w:lvl w:ilvl="1">
      <w:start w:val="4"/>
      <w:numFmt w:val="decimal"/>
      <w:isLgl/>
      <w:lvlText w:val="%1.%2."/>
      <w:lvlJc w:val="left"/>
      <w:pPr>
        <w:ind w:left="810" w:hanging="540"/>
      </w:pPr>
      <w:rPr>
        <w:rFonts w:hint="default"/>
      </w:rPr>
    </w:lvl>
    <w:lvl w:ilvl="2">
      <w:start w:val="2"/>
      <w:numFmt w:val="decimal"/>
      <w:isLgl/>
      <w:lvlText w:val="%1.%2.%3."/>
      <w:lvlJc w:val="left"/>
      <w:pPr>
        <w:ind w:left="225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4">
    <w:nsid w:val="00000004"/>
    <w:multiLevelType w:val="multilevel"/>
    <w:tmpl w:val="0B647060"/>
    <w:lvl w:ilvl="0">
      <w:start w:val="1"/>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5"/>
      <w:numFmt w:val="decimal"/>
      <w:lvlText w:val="%1.%2.%3"/>
      <w:lvlJc w:val="left"/>
      <w:pPr>
        <w:ind w:left="1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5"/>
    <w:multiLevelType w:val="multilevel"/>
    <w:tmpl w:val="08004232"/>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00000006"/>
    <w:multiLevelType w:val="multilevel"/>
    <w:tmpl w:val="8640A686"/>
    <w:lvl w:ilvl="0">
      <w:start w:val="1"/>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nsid w:val="00000007"/>
    <w:multiLevelType w:val="hybridMultilevel"/>
    <w:tmpl w:val="E7B6CE6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cs="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cs="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cs="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nsid w:val="00000008"/>
    <w:multiLevelType w:val="hybridMultilevel"/>
    <w:tmpl w:val="278A3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multilevel"/>
    <w:tmpl w:val="8226789E"/>
    <w:lvl w:ilvl="0">
      <w:start w:val="1"/>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0000000A"/>
    <w:multiLevelType w:val="multilevel"/>
    <w:tmpl w:val="03D6A660"/>
    <w:lvl w:ilvl="0">
      <w:start w:val="1"/>
      <w:numFmt w:val="decimal"/>
      <w:lvlText w:val="%1."/>
      <w:lvlJc w:val="left"/>
      <w:pPr>
        <w:ind w:left="435" w:hanging="43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0000000B"/>
    <w:multiLevelType w:val="multilevel"/>
    <w:tmpl w:val="4B04487A"/>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0000000C"/>
    <w:multiLevelType w:val="multilevel"/>
    <w:tmpl w:val="F800A9A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0000000D"/>
    <w:multiLevelType w:val="hybridMultilevel"/>
    <w:tmpl w:val="6568B49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cs="Courier New" w:hAnsi="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cs="Courier New" w:hAnsi="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cs="Courier New" w:hAnsi="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nsid w:val="0000000E"/>
    <w:multiLevelType w:val="hybridMultilevel"/>
    <w:tmpl w:val="7414A560"/>
    <w:lvl w:ilvl="0" w:tplc="04EC2F3E">
      <w:start w:val="1"/>
      <w:numFmt w:val="bullet"/>
      <w:lvlText w:val="•"/>
      <w:lvlJc w:val="left"/>
      <w:pPr>
        <w:ind w:left="720"/>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CC3EECB2">
      <w:start w:val="1"/>
      <w:numFmt w:val="bullet"/>
      <w:lvlText w:val="o"/>
      <w:lvlJc w:val="left"/>
      <w:pPr>
        <w:ind w:left="144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075CB37A">
      <w:start w:val="1"/>
      <w:numFmt w:val="bullet"/>
      <w:lvlText w:val="▪"/>
      <w:lvlJc w:val="left"/>
      <w:pPr>
        <w:ind w:left="21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0736010C">
      <w:start w:val="1"/>
      <w:numFmt w:val="bullet"/>
      <w:lvlText w:val="•"/>
      <w:lvlJc w:val="left"/>
      <w:pPr>
        <w:ind w:left="2880"/>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A23C4930">
      <w:start w:val="1"/>
      <w:numFmt w:val="bullet"/>
      <w:lvlText w:val="o"/>
      <w:lvlJc w:val="left"/>
      <w:pPr>
        <w:ind w:left="360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3EC8130C">
      <w:start w:val="1"/>
      <w:numFmt w:val="bullet"/>
      <w:lvlText w:val="▪"/>
      <w:lvlJc w:val="left"/>
      <w:pPr>
        <w:ind w:left="432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0B24E27E">
      <w:start w:val="1"/>
      <w:numFmt w:val="bullet"/>
      <w:lvlText w:val="•"/>
      <w:lvlJc w:val="left"/>
      <w:pPr>
        <w:ind w:left="5040"/>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A2AAE126">
      <w:start w:val="1"/>
      <w:numFmt w:val="bullet"/>
      <w:lvlText w:val="o"/>
      <w:lvlJc w:val="left"/>
      <w:pPr>
        <w:ind w:left="576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14882C86">
      <w:start w:val="1"/>
      <w:numFmt w:val="bullet"/>
      <w:lvlText w:val="▪"/>
      <w:lvlJc w:val="left"/>
      <w:pPr>
        <w:ind w:left="6480"/>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15">
    <w:nsid w:val="0000000F"/>
    <w:multiLevelType w:val="hybridMultilevel"/>
    <w:tmpl w:val="A38A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1920228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nsid w:val="00000011"/>
    <w:multiLevelType w:val="multilevel"/>
    <w:tmpl w:val="9F34083E"/>
    <w:lvl w:ilvl="0">
      <w:start w:val="1"/>
      <w:numFmt w:val="decimal"/>
      <w:lvlText w:val="%1."/>
      <w:lvlJc w:val="left"/>
      <w:pPr>
        <w:ind w:left="435" w:hanging="43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00000012"/>
    <w:multiLevelType w:val="hybridMultilevel"/>
    <w:tmpl w:val="EFAC2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multilevel"/>
    <w:tmpl w:val="78BA1C8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nsid w:val="00000014"/>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21">
    <w:nsid w:val="00000015"/>
    <w:multiLevelType w:val="multilevel"/>
    <w:tmpl w:val="A13CFC90"/>
    <w:lvl w:ilvl="0">
      <w:start w:val="1"/>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abstractNumId w:val="2"/>
  </w:num>
  <w:num w:numId="2">
    <w:abstractNumId w:val="3"/>
  </w:num>
  <w:num w:numId="3">
    <w:abstractNumId w:val="0"/>
  </w:num>
  <w:num w:numId="4">
    <w:abstractNumId w:val="18"/>
  </w:num>
  <w:num w:numId="5">
    <w:abstractNumId w:val="8"/>
  </w:num>
  <w:num w:numId="6">
    <w:abstractNumId w:val="7"/>
  </w:num>
  <w:num w:numId="7">
    <w:abstractNumId w:val="15"/>
  </w:num>
  <w:num w:numId="8">
    <w:abstractNumId w:val="13"/>
  </w:num>
  <w:num w:numId="9">
    <w:abstractNumId w:val="19"/>
  </w:num>
  <w:num w:numId="10">
    <w:abstractNumId w:val="11"/>
  </w:num>
  <w:num w:numId="11">
    <w:abstractNumId w:val="9"/>
  </w:num>
  <w:num w:numId="12">
    <w:abstractNumId w:val="12"/>
  </w:num>
  <w:num w:numId="13">
    <w:abstractNumId w:val="10"/>
  </w:num>
  <w:num w:numId="14">
    <w:abstractNumId w:val="17"/>
  </w:num>
  <w:num w:numId="15">
    <w:abstractNumId w:val="4"/>
  </w:num>
  <w:num w:numId="16">
    <w:abstractNumId w:val="16"/>
  </w:num>
  <w:num w:numId="17">
    <w:abstractNumId w:val="21"/>
  </w:num>
  <w:num w:numId="18">
    <w:abstractNumId w:val="1"/>
  </w:num>
  <w:num w:numId="19">
    <w:abstractNumId w:val="20"/>
  </w:num>
  <w:num w:numId="20">
    <w:abstractNumId w:val="6"/>
  </w:num>
  <w:num w:numId="21">
    <w:abstractNumId w:val="5"/>
  </w:num>
  <w:num w:numId="22">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2"/>
    <w:qFormat/>
    <w:uiPriority w:val="9"/>
    <w:pPr>
      <w:keepNext/>
      <w:keepLines/>
      <w:spacing w:before="240" w:after="0"/>
      <w:outlineLvl w:val="0"/>
    </w:pPr>
    <w:rPr>
      <w:rFonts w:ascii="Calibri Light" w:cs="宋体" w:eastAsia="宋体" w:hAnsi="Calibri Light"/>
      <w:color w:val="2f5496"/>
      <w:sz w:val="32"/>
      <w:szCs w:val="32"/>
    </w:rPr>
  </w:style>
  <w:style w:type="paragraph" w:styleId="style2">
    <w:name w:val="heading 2"/>
    <w:basedOn w:val="style0"/>
    <w:next w:val="style0"/>
    <w:link w:val="style4103"/>
    <w:qFormat/>
    <w:uiPriority w:val="9"/>
    <w:pPr>
      <w:keepNext/>
      <w:keepLines/>
      <w:spacing w:before="40" w:after="0"/>
      <w:outlineLvl w:val="1"/>
    </w:pPr>
    <w:rPr>
      <w:rFonts w:ascii="Calibri Light" w:cs="宋体" w:eastAsia="宋体" w:hAnsi="Calibri Light"/>
      <w:color w:val="2f5496"/>
      <w:sz w:val="26"/>
      <w:szCs w:val="26"/>
    </w:rPr>
  </w:style>
  <w:style w:type="paragraph" w:styleId="style3">
    <w:name w:val="heading 3"/>
    <w:basedOn w:val="style0"/>
    <w:next w:val="style0"/>
    <w:link w:val="style4104"/>
    <w:qFormat/>
    <w:uiPriority w:val="9"/>
    <w:pPr>
      <w:keepNext/>
      <w:keepLines/>
      <w:spacing w:before="40" w:after="0"/>
      <w:outlineLvl w:val="2"/>
    </w:pPr>
    <w:rPr>
      <w:rFonts w:ascii="Calibri Light" w:cs="宋体" w:eastAsia="宋体" w:hAnsi="Calibri Light"/>
      <w:color w:val="1f3763"/>
      <w:sz w:val="24"/>
      <w:szCs w:val="24"/>
    </w:rPr>
  </w:style>
  <w:style w:type="paragraph" w:styleId="style5">
    <w:name w:val="heading 5"/>
    <w:basedOn w:val="style0"/>
    <w:next w:val="style0"/>
    <w:link w:val="style4105"/>
    <w:qFormat/>
    <w:uiPriority w:val="9"/>
    <w:pPr>
      <w:keepNext/>
      <w:keepLines/>
      <w:spacing w:before="40" w:after="0"/>
      <w:outlineLvl w:val="4"/>
    </w:pPr>
    <w:rPr>
      <w:rFonts w:ascii="Calibri Light" w:cs="宋体" w:eastAsia="宋体" w:hAnsi="Calibri Light"/>
      <w:color w:val="2f549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paragraph" w:styleId="style32">
    <w:name w:val="footer"/>
    <w:basedOn w:val="style0"/>
    <w:next w:val="style32"/>
    <w:link w:val="style4097"/>
    <w:uiPriority w:val="99"/>
    <w:pPr>
      <w:tabs>
        <w:tab w:val="center" w:leader="none" w:pos="4680"/>
        <w:tab w:val="right" w:leader="none" w:pos="9360"/>
      </w:tabs>
      <w:spacing w:after="0" w:lineRule="auto" w:line="240"/>
    </w:pPr>
    <w:rPr/>
  </w:style>
  <w:style w:type="character" w:customStyle="1" w:styleId="style4097">
    <w:name w:val="Footer Char_7ffd77dc-57fa-4a85-949e-8cc87e6c5710"/>
    <w:basedOn w:val="style65"/>
    <w:next w:val="style4097"/>
    <w:link w:val="style32"/>
    <w:uiPriority w:val="99"/>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13fbbf23-4e38-4f82-b9c1-73fa4379366b"/>
    <w:basedOn w:val="style65"/>
    <w:next w:val="style4098"/>
    <w:link w:val="style31"/>
    <w:uiPriority w:val="99"/>
  </w:style>
  <w:style w:type="paragraph" w:customStyle="1" w:styleId="style4099">
    <w:name w:val="Default"/>
    <w:next w:val="style4099"/>
    <w:pPr>
      <w:autoSpaceDE w:val="false"/>
      <w:autoSpaceDN w:val="false"/>
      <w:adjustRightInd w:val="false"/>
      <w:spacing w:after="0" w:lineRule="auto" w:line="240"/>
    </w:pPr>
    <w:rPr>
      <w:rFonts w:ascii="Times New Roman" w:cs="Times New Roman" w:hAnsi="Times New Roman"/>
      <w:color w:val="000000"/>
      <w:sz w:val="24"/>
      <w:szCs w:val="24"/>
    </w:rPr>
  </w:style>
  <w:style w:type="character" w:customStyle="1" w:styleId="style4100">
    <w:name w:val="Title1"/>
    <w:basedOn w:val="style65"/>
    <w:next w:val="style4100"/>
  </w:style>
  <w:style w:type="paragraph" w:styleId="style153">
    <w:name w:val="Balloon Text"/>
    <w:basedOn w:val="style0"/>
    <w:next w:val="style153"/>
    <w:link w:val="style4101"/>
    <w:uiPriority w:val="99"/>
    <w:pPr>
      <w:spacing w:after="0" w:lineRule="auto" w:line="240"/>
    </w:pPr>
    <w:rPr>
      <w:rFonts w:ascii="Segoe UI" w:cs="Segoe UI" w:hAnsi="Segoe UI"/>
      <w:sz w:val="18"/>
      <w:szCs w:val="18"/>
    </w:rPr>
  </w:style>
  <w:style w:type="character" w:customStyle="1" w:styleId="style4101">
    <w:name w:val="Balloon Text Char"/>
    <w:basedOn w:val="style65"/>
    <w:next w:val="style4101"/>
    <w:link w:val="style153"/>
    <w:uiPriority w:val="99"/>
    <w:rPr>
      <w:rFonts w:ascii="Segoe UI" w:cs="Segoe UI" w:hAnsi="Segoe UI"/>
      <w:sz w:val="18"/>
      <w:szCs w:val="18"/>
    </w:rPr>
  </w:style>
  <w:style w:type="character" w:customStyle="1" w:styleId="style4102">
    <w:name w:val="Heading 1 Char_4d785def-d40f-4e5c-a217-2203eff8e924"/>
    <w:basedOn w:val="style65"/>
    <w:next w:val="style4102"/>
    <w:link w:val="style1"/>
    <w:uiPriority w:val="9"/>
    <w:rPr>
      <w:rFonts w:ascii="Calibri Light" w:cs="宋体" w:eastAsia="宋体" w:hAnsi="Calibri Light"/>
      <w:color w:val="2f5496"/>
      <w:sz w:val="32"/>
      <w:szCs w:val="32"/>
    </w:rPr>
  </w:style>
  <w:style w:type="character" w:customStyle="1" w:styleId="style4103">
    <w:name w:val="Heading 2 Char_b7b49617-6591-4635-bbc4-476d9b7a673c"/>
    <w:basedOn w:val="style65"/>
    <w:next w:val="style4103"/>
    <w:link w:val="style2"/>
    <w:uiPriority w:val="9"/>
    <w:rPr>
      <w:rFonts w:ascii="Calibri Light" w:cs="宋体" w:eastAsia="宋体" w:hAnsi="Calibri Light"/>
      <w:color w:val="2f5496"/>
      <w:sz w:val="26"/>
      <w:szCs w:val="26"/>
    </w:rPr>
  </w:style>
  <w:style w:type="character" w:customStyle="1" w:styleId="style4104">
    <w:name w:val="Heading 3 Char_3ecdf6a1-d836-47fa-afd2-275f3525c784"/>
    <w:basedOn w:val="style65"/>
    <w:next w:val="style4104"/>
    <w:link w:val="style3"/>
    <w:uiPriority w:val="9"/>
    <w:rPr>
      <w:rFonts w:ascii="Calibri Light" w:cs="宋体" w:eastAsia="宋体" w:hAnsi="Calibri Light"/>
      <w:color w:val="1f3763"/>
      <w:sz w:val="24"/>
      <w:szCs w:val="24"/>
    </w:rPr>
  </w:style>
  <w:style w:type="character" w:customStyle="1" w:styleId="style4105">
    <w:name w:val="Heading 5 Char_06e63edd-f45c-45c8-80d3-c6e065d393e0"/>
    <w:basedOn w:val="style65"/>
    <w:next w:val="style4105"/>
    <w:link w:val="style5"/>
    <w:uiPriority w:val="9"/>
    <w:rPr>
      <w:rFonts w:ascii="Calibri Light" w:cs="宋体" w:eastAsia="宋体" w:hAnsi="Calibri Light"/>
      <w:color w:val="2f5496"/>
    </w:rPr>
  </w:style>
  <w:style w:type="paragraph" w:customStyle="1" w:styleId="style4106">
    <w:name w:val="footnote description"/>
    <w:next w:val="style0"/>
    <w:link w:val="style4107"/>
    <w:pPr>
      <w:spacing w:after="0" w:lineRule="auto" w:line="258"/>
    </w:pPr>
    <w:rPr>
      <w:rFonts w:ascii="Book Antiqua" w:cs="Book Antiqua" w:eastAsia="Book Antiqua" w:hAnsi="Book Antiqua"/>
      <w:color w:val="000000"/>
      <w:sz w:val="20"/>
    </w:rPr>
  </w:style>
  <w:style w:type="character" w:customStyle="1" w:styleId="style4107">
    <w:name w:val="footnote description Char"/>
    <w:next w:val="style4107"/>
    <w:link w:val="style4106"/>
    <w:rPr>
      <w:rFonts w:ascii="Book Antiqua" w:cs="Book Antiqua" w:eastAsia="Book Antiqua" w:hAnsi="Book Antiqua"/>
      <w:color w:val="000000"/>
      <w:sz w:val="20"/>
    </w:rPr>
  </w:style>
  <w:style w:type="character" w:customStyle="1" w:styleId="style4108">
    <w:name w:val="footnote mark"/>
    <w:next w:val="style4108"/>
    <w:rPr>
      <w:rFonts w:ascii="Book Antiqua" w:cs="Book Antiqua" w:eastAsia="Book Antiqua" w:hAnsi="Book Antiqua"/>
      <w:color w:val="000000"/>
      <w:sz w:val="20"/>
      <w:vertAlign w:val="superscript"/>
    </w:rPr>
  </w:style>
  <w:style w:type="table" w:customStyle="1" w:styleId="style4109">
    <w:name w:val="TableGrid"/>
    <w:next w:val="style4109"/>
    <w:pPr>
      <w:spacing w:after="0" w:lineRule="auto" w:line="240"/>
    </w:pPr>
    <w:rPr>
      <w:rFonts w:eastAsia="宋体"/>
    </w:rPr>
    <w:tblPr>
      <w:tblCellMar>
        <w:top w:w="0" w:type="dxa"/>
        <w:left w:w="0" w:type="dxa"/>
        <w:bottom w:w="0" w:type="dxa"/>
        <w:right w:w="0" w:type="dxa"/>
      </w:tblCellMar>
    </w:tblPr>
    <w:tcPr>
      <w:tcBorders/>
    </w:tcPr>
  </w:style>
  <w:style w:type="table" w:styleId="style154">
    <w:name w:val="Table Grid"/>
    <w:basedOn w:val="style105"/>
    <w:next w:val="style154"/>
    <w:uiPriority w:val="59"/>
    <w:pPr>
      <w:spacing w:after="0" w:lineRule="auto" w:line="240"/>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266">
    <w:name w:val="TOC Heading"/>
    <w:basedOn w:val="style1"/>
    <w:next w:val="style0"/>
    <w:qFormat/>
    <w:uiPriority w:val="39"/>
    <w:pPr>
      <w:outlineLvl w:val="9"/>
    </w:pPr>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s>
</file>

<file path=word/_rels/document.xml.rels><?xml version="1.0" encoding="UTF-8"?>
<Relationships xmlns="http://schemas.openxmlformats.org/package/2006/relationships"><Relationship Id="rId20" Type="http://schemas.openxmlformats.org/officeDocument/2006/relationships/header" Target="header4.xml"/><Relationship Id="rId22" Type="http://schemas.openxmlformats.org/officeDocument/2006/relationships/fontTable" Target="fontTable.xml"/><Relationship Id="rId21" Type="http://schemas.openxmlformats.org/officeDocument/2006/relationships/styles" Target="styles.xml"/><Relationship Id="rId24" Type="http://schemas.openxmlformats.org/officeDocument/2006/relationships/theme" Target="theme/theme1.xml"/><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chart" Target="charts/chart1.xml"/><Relationship Id="rId9" Type="http://schemas.openxmlformats.org/officeDocument/2006/relationships/chart" Target="charts/chart6.xml"/><Relationship Id="rId25" Type="http://schemas.openxmlformats.org/officeDocument/2006/relationships/customXml" Target="../customXml/item1.xml"/><Relationship Id="rId5" Type="http://schemas.openxmlformats.org/officeDocument/2006/relationships/chart" Target="charts/chart2.xml"/><Relationship Id="rId6" Type="http://schemas.openxmlformats.org/officeDocument/2006/relationships/chart" Target="charts/chart3.xml"/><Relationship Id="rId7" Type="http://schemas.openxmlformats.org/officeDocument/2006/relationships/chart" Target="charts/chart4.xml"/><Relationship Id="rId8" Type="http://schemas.openxmlformats.org/officeDocument/2006/relationships/chart" Target="charts/chart5.xml"/><Relationship Id="rId11" Type="http://schemas.openxmlformats.org/officeDocument/2006/relationships/chart" Target="charts/chart8.xml"/><Relationship Id="rId10" Type="http://schemas.openxmlformats.org/officeDocument/2006/relationships/chart" Target="charts/chart7.xml"/><Relationship Id="rId13" Type="http://schemas.openxmlformats.org/officeDocument/2006/relationships/chart" Target="charts/chart10.xml"/><Relationship Id="rId12" Type="http://schemas.openxmlformats.org/officeDocument/2006/relationships/chart" Target="charts/chart9.xml"/><Relationship Id="rId15" Type="http://schemas.openxmlformats.org/officeDocument/2006/relationships/chart" Target="charts/chart12.xml"/><Relationship Id="rId14" Type="http://schemas.openxmlformats.org/officeDocument/2006/relationships/chart" Target="charts/chart11.xml"/><Relationship Id="rId17" Type="http://schemas.openxmlformats.org/officeDocument/2006/relationships/chart" Target="charts/chart14.xml"/><Relationship Id="rId16" Type="http://schemas.openxmlformats.org/officeDocument/2006/relationships/chart" Target="charts/chart13.xml"/><Relationship Id="rId19" Type="http://schemas.openxmlformats.org/officeDocument/2006/relationships/header" Target="header3.xml"/><Relationship Id="rId18" Type="http://schemas.openxmlformats.org/officeDocument/2006/relationships/header" Target="header2.xml"/></Relationships>
</file>

<file path=word/charts/_rels/chart1.xml.rels><?xml version="1.0" encoding="UTF-8"?>
<Relationships xmlns="http://schemas.openxmlformats.org/package/2006/relationships"><Relationship Id="rId1" Type="http://schemas.openxmlformats.org/officeDocument/2006/relationships/oleObject" TargetMode="External" Target="Book1"/></Relationships>
</file>

<file path=word/charts/_rels/chart2.xml.rels><?xml version="1.0" encoding="UTF-8"?>
<Relationships xmlns="http://schemas.openxmlformats.org/package/2006/relationships"><Relationship Id="rId1" Type="http://schemas.openxmlformats.org/officeDocument/2006/relationships/oleObject" TargetMode="External" Target="Book1"/></Relationships>
</file>

<file path=word/charts/_rels/chart3.xml.rels><?xml version="1.0" encoding="UTF-8"?>
<Relationships xmlns="http://schemas.openxmlformats.org/package/2006/relationships"><Relationship Id="rId1" Type="http://schemas.openxmlformats.org/officeDocument/2006/relationships/oleObject" TargetMode="External" Target="Book1"/></Relationships>
</file>

<file path=word/charts/_rels/chart4.xml.rels><?xml version="1.0" encoding="UTF-8"?>
<Relationships xmlns="http://schemas.openxmlformats.org/package/2006/relationships"><Relationship Id="rId1" Type="http://schemas.openxmlformats.org/officeDocument/2006/relationships/oleObject" TargetMode="External" Target="Book1"/></Relationships>
</file>

<file path=word/charts/_rels/chart5.xml.rels><?xml version="1.0" encoding="UTF-8"?>
<Relationships xmlns="http://schemas.openxmlformats.org/package/2006/relationships"><Relationship Id="rId1" Type="http://schemas.openxmlformats.org/officeDocument/2006/relationships/oleObject" TargetMode="External" Target="Book1"/></Relationships>
</file>

<file path=word/charts/_rels/chart6.xml.rels><?xml version="1.0" encoding="UTF-8"?>
<Relationships xmlns="http://schemas.openxmlformats.org/package/2006/relationships"><Relationship Id="rId1" Type="http://schemas.openxmlformats.org/officeDocument/2006/relationships/oleObject" TargetMode="External" Target="Book1"/></Relationships>
</file>

<file path=word/charts/_rels/chart7.xml.rels><?xml version="1.0" encoding="UTF-8"?>
<Relationships xmlns="http://schemas.openxmlformats.org/package/2006/relationships"><Relationship Id="rId1" Type="http://schemas.openxmlformats.org/officeDocument/2006/relationships/oleObject" TargetMode="External" Target="Book1"/></Relationships>
</file>

<file path=word/charts/_rels/chart8.xml.rels><?xml version="1.0" encoding="UTF-8"?>
<Relationships xmlns="http://schemas.openxmlformats.org/package/2006/relationships"><Relationship Id="rId1" Type="http://schemas.openxmlformats.org/officeDocument/2006/relationships/oleObject" TargetMode="External" Target="Book1"/></Relationships>
</file>

<file path=word/charts/_rels/chart9.xml.rels><?xml version="1.0" encoding="UTF-8"?>
<Relationships xmlns="http://schemas.openxmlformats.org/package/2006/relationships"><Relationship Id="rId1" Type="http://schemas.openxmlformats.org/officeDocument/2006/relationships/oleObject" TargetMode="External" Target="Book1"/></Relationships>
</file>

<file path=word/charts/_rels/chart10.xml.rels><?xml version="1.0" encoding="UTF-8"?>
<Relationships xmlns="http://schemas.openxmlformats.org/package/2006/relationships"><Relationship Id="rId1" Type="http://schemas.openxmlformats.org/officeDocument/2006/relationships/oleObject" TargetMode="External" Target="Book1"/></Relationships>
</file>

<file path=word/charts/_rels/chart11.xml.rels><?xml version="1.0" encoding="UTF-8"?>
<Relationships xmlns="http://schemas.openxmlformats.org/package/2006/relationships"><Relationship Id="rId1" Type="http://schemas.openxmlformats.org/officeDocument/2006/relationships/oleObject" TargetMode="External" Target="Book1"/></Relationships>
</file>

<file path=word/charts/_rels/chart12.xml.rels><?xml version="1.0" encoding="UTF-8"?>
<Relationships xmlns="http://schemas.openxmlformats.org/package/2006/relationships"><Relationship Id="rId1" Type="http://schemas.openxmlformats.org/officeDocument/2006/relationships/oleObject" TargetMode="External" Target="Book1"/></Relationships>
</file>

<file path=word/charts/_rels/chart13.xml.rels><?xml version="1.0" encoding="UTF-8"?>
<Relationships xmlns="http://schemas.openxmlformats.org/package/2006/relationships"><Relationship Id="rId1" Type="http://schemas.openxmlformats.org/officeDocument/2006/relationships/oleObject" TargetMode="External" Target="Book1"/></Relationships>
</file>

<file path=word/charts/_rels/chart14.xml.rels><?xml version="1.0" encoding="UTF-8"?>
<Relationships xmlns="http://schemas.openxmlformats.org/package/2006/relationships"><Relationship Id="rId1" Type="http://schemas.openxmlformats.org/officeDocument/2006/relationships/oleObject" TargetMode="External" Target="Book1"/><Relationship Id="rId2" Type="http://schemas.microsoft.com/office/2011/relationships/chartStyle" Target="style10.xml"/><Relationship Id="rId3" Type="http://schemas.microsoft.com/office/2011/relationships/chartColorStyle" Target="colors10.xml"/><Relationship Id="rId4"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Participants</a:t>
            </a:r>
            <a:r>
              <a:rPr lang="en-ZA" baseline="0"/>
              <a:t> Education status</a:t>
            </a:r>
            <a:endParaRPr lang="en-ZA"/>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Sheet1!$C$5:$C$12</c:f>
              <c:strCache>
                <c:ptCount val="8"/>
                <c:pt idx="0">
                  <c:v>None</c:v>
                </c:pt>
                <c:pt idx="1">
                  <c:v>Jr primary</c:v>
                </c:pt>
                <c:pt idx="2">
                  <c:v>PLSCE</c:v>
                </c:pt>
                <c:pt idx="3">
                  <c:v>JCE</c:v>
                </c:pt>
                <c:pt idx="4">
                  <c:v>MSCE</c:v>
                </c:pt>
                <c:pt idx="5">
                  <c:v>Diploma</c:v>
                </c:pt>
                <c:pt idx="6">
                  <c:v>Degree</c:v>
                </c:pt>
                <c:pt idx="7">
                  <c:v>Masters</c:v>
                </c:pt>
              </c:strCache>
            </c:strRef>
          </c:cat>
          <c:val>
            <c:numRef>
              <c:f>Sheet1!$D$5:$D$12</c:f>
              <c:numCache>
                <c:formatCode>General</c:formatCode>
                <c:ptCount val="8"/>
                <c:pt idx="0">
                  <c:v>6.0</c:v>
                </c:pt>
                <c:pt idx="1">
                  <c:v>1.0</c:v>
                </c:pt>
                <c:pt idx="2">
                  <c:v>1.0</c:v>
                </c:pt>
                <c:pt idx="3">
                  <c:v>2.0</c:v>
                </c:pt>
                <c:pt idx="4">
                  <c:v>6.0</c:v>
                </c:pt>
                <c:pt idx="5">
                  <c:v>11.0</c:v>
                </c:pt>
                <c:pt idx="6">
                  <c:v>3.0</c:v>
                </c:pt>
                <c:pt idx="7">
                  <c:v>0.0</c:v>
                </c:pt>
              </c:numCache>
            </c:numRef>
          </c:val>
        </c:ser>
        <c:dLbls>
          <c:showLegendKey val="0"/>
          <c:showVal val="0"/>
          <c:showCatName val="0"/>
          <c:showSerName val="0"/>
          <c:showPercent val="0"/>
          <c:showBubbleSize val="0"/>
        </c:dLbls>
        <c:gapWidth val="219"/>
        <c:overlap val="-27"/>
        <c:axId val="72461312"/>
        <c:axId val="72587520"/>
      </c:barChart>
      <c:catAx>
        <c:axId val="72461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587520"/>
        <c:crosses val="autoZero"/>
        <c:auto val="1"/>
        <c:lblAlgn val="ctr"/>
        <c:lblOffset val="100"/>
        <c:noMultiLvlLbl val="0"/>
      </c:catAx>
      <c:valAx>
        <c:axId val="72587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461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Participants</a:t>
            </a:r>
            <a:r>
              <a:rPr lang="en-ZA" baseline="0"/>
              <a:t> occupation status</a:t>
            </a:r>
            <a:endParaRPr lang="en-ZA"/>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Sheet1!$C$31:$C$34</c:f>
              <c:strCache>
                <c:ptCount val="4"/>
                <c:pt idx="0">
                  <c:v>Self</c:v>
                </c:pt>
                <c:pt idx="1">
                  <c:v>Employed</c:v>
                </c:pt>
                <c:pt idx="2">
                  <c:v>Business </c:v>
                </c:pt>
                <c:pt idx="3">
                  <c:v>Other</c:v>
                </c:pt>
              </c:strCache>
            </c:strRef>
          </c:cat>
          <c:val>
            <c:numRef>
              <c:f>Sheet1!$D$31:$D$34</c:f>
              <c:numCache>
                <c:formatCode>General</c:formatCode>
                <c:ptCount val="4"/>
                <c:pt idx="0">
                  <c:v>2.0</c:v>
                </c:pt>
                <c:pt idx="1">
                  <c:v>21.0</c:v>
                </c:pt>
                <c:pt idx="2">
                  <c:v>7.0</c:v>
                </c:pt>
                <c:pt idx="3">
                  <c:v>0.0</c:v>
                </c:pt>
              </c:numCache>
            </c:numRef>
          </c:val>
          <c:smooth val="0"/>
        </c:ser>
        <c:ser>
          <c:idx val="1"/>
          <c:order val="1"/>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Sheet1!$C$31:$C$34</c:f>
              <c:strCache>
                <c:ptCount val="4"/>
                <c:pt idx="0">
                  <c:v>Self</c:v>
                </c:pt>
                <c:pt idx="1">
                  <c:v>Employed</c:v>
                </c:pt>
                <c:pt idx="2">
                  <c:v>Business </c:v>
                </c:pt>
                <c:pt idx="3">
                  <c:v>Other</c:v>
                </c:pt>
              </c:strCache>
            </c:strRef>
          </c:cat>
          <c:val>
            <c:numRef>
              <c:f>Sheet1!$E$31:$E$34</c:f>
              <c:numCache>
                <c:formatCode>0%</c:formatCode>
                <c:ptCount val="4"/>
                <c:pt idx="0" formatCode="General">
                  <c:v>0.0</c:v>
                </c:pt>
                <c:pt idx="1">
                  <c:v>0.7</c:v>
                </c:pt>
                <c:pt idx="2" formatCode="General">
                  <c:v>0.0</c:v>
                </c:pt>
                <c:pt idx="3">
                  <c:v>0.0</c:v>
                </c:pt>
              </c:numCache>
            </c:numRef>
          </c:val>
          <c:smooth val="0"/>
        </c:ser>
        <c:dLbls>
          <c:showLegendKey val="0"/>
          <c:showVal val="0"/>
          <c:showCatName val="0"/>
          <c:showSerName val="0"/>
          <c:showPercent val="0"/>
          <c:showBubbleSize val="0"/>
        </c:dLbls>
        <c:smooth val="0"/>
        <c:axId val="48870912"/>
        <c:axId val="48872448"/>
      </c:lineChart>
      <c:catAx>
        <c:axId val="48870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872448"/>
        <c:crosses val="autoZero"/>
        <c:auto val="1"/>
        <c:lblAlgn val="ctr"/>
        <c:lblOffset val="100"/>
        <c:noMultiLvlLbl val="0"/>
      </c:catAx>
      <c:valAx>
        <c:axId val="48872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870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CSR</a:t>
            </a:r>
            <a:r>
              <a:rPr lang="en-ZA" baseline="0"/>
              <a:t> perception by participants</a:t>
            </a:r>
            <a:endParaRPr lang="en-ZA"/>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Sheet1!$C$6:$C$8</c:f>
              <c:strCache>
                <c:ptCount val="3"/>
                <c:pt idx="0">
                  <c:v>CRS awareness (Yes)</c:v>
                </c:pt>
                <c:pt idx="1">
                  <c:v>CRS awareness (No)</c:v>
                </c:pt>
                <c:pt idx="2">
                  <c:v>CRS awareness (NA)</c:v>
                </c:pt>
              </c:strCache>
            </c:strRef>
          </c:cat>
          <c:val>
            <c:numRef>
              <c:f>Sheet1!$D$6:$D$8</c:f>
              <c:numCache>
                <c:formatCode>General</c:formatCode>
                <c:ptCount val="3"/>
                <c:pt idx="0">
                  <c:v>20.0</c:v>
                </c:pt>
                <c:pt idx="1">
                  <c:v>10.0</c:v>
                </c:pt>
                <c:pt idx="2">
                  <c:v>0.0</c:v>
                </c:pt>
              </c:numCache>
            </c:numRef>
          </c:val>
        </c:ser>
        <c:ser>
          <c:idx val="1"/>
          <c:order val="1"/>
          <c:spPr>
            <a:solidFill>
              <a:schemeClr val="accent2"/>
            </a:solidFill>
            <a:ln>
              <a:noFill/>
            </a:ln>
            <a:effectLst/>
          </c:spPr>
          <c:invertIfNegative val="0"/>
          <c:cat>
            <c:strRef>
              <c:f>Sheet1!$C$6:$C$8</c:f>
              <c:strCache>
                <c:ptCount val="3"/>
                <c:pt idx="0">
                  <c:v>CRS awareness (Yes)</c:v>
                </c:pt>
                <c:pt idx="1">
                  <c:v>CRS awareness (No)</c:v>
                </c:pt>
                <c:pt idx="2">
                  <c:v>CRS awareness (NA)</c:v>
                </c:pt>
              </c:strCache>
            </c:strRef>
          </c:cat>
          <c:val>
            <c:numRef>
              <c:f>Sheet1!$E$6:$E$8</c:f>
              <c:numCache>
                <c:formatCode>General</c:formatCode>
                <c:ptCount val="3"/>
                <c:pt idx="0">
                  <c:v>0.0</c:v>
                </c:pt>
                <c:pt idx="1">
                  <c:v>0.0</c:v>
                </c:pt>
                <c:pt idx="2" formatCode="0%">
                  <c:v>0.0</c:v>
                </c:pt>
              </c:numCache>
            </c:numRef>
          </c:val>
        </c:ser>
        <c:dLbls>
          <c:showLegendKey val="0"/>
          <c:showVal val="0"/>
          <c:showCatName val="0"/>
          <c:showSerName val="0"/>
          <c:showPercent val="0"/>
          <c:showBubbleSize val="0"/>
        </c:dLbls>
        <c:gapWidth val="219"/>
        <c:overlap val="-27"/>
        <c:axId val="49156480"/>
        <c:axId val="49158016"/>
      </c:barChart>
      <c:catAx>
        <c:axId val="4915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58016"/>
        <c:crosses val="autoZero"/>
        <c:auto val="1"/>
        <c:lblAlgn val="ctr"/>
        <c:lblOffset val="100"/>
        <c:noMultiLvlLbl val="0"/>
      </c:catAx>
      <c:valAx>
        <c:axId val="49158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5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kumimoji="0" lang="en-ZA" sz="1400" b="0" i="0" u="none" strike="noStrike" kern="1200" cap="none" spc="0" normalizeH="0" baseline="0" noProof="0">
                <a:ln>
                  <a:noFill/>
                </a:ln>
                <a:solidFill>
                  <a:sysClr val="windowText" lastClr="000000">
                    <a:lumMod val="65000"/>
                    <a:lumOff val="35000"/>
                  </a:sysClr>
                </a:solidFill>
                <a:effectLst/>
                <a:uLnTx/>
                <a:uFillTx/>
                <a:latin typeface="Calibri" panose="020F0502020204030204"/>
              </a:rPr>
              <a:t>CSR= company +role</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Sheet1!$C$35:$C$37</c:f>
              <c:strCache>
                <c:ptCount val="3"/>
                <c:pt idx="0">
                  <c:v>CRS cmpny + role (Yes)</c:v>
                </c:pt>
                <c:pt idx="1">
                  <c:v>CRS cmpny + role (No)</c:v>
                </c:pt>
                <c:pt idx="2">
                  <c:v>CRS cmpny + role (NA)</c:v>
                </c:pt>
              </c:strCache>
            </c:strRef>
          </c:cat>
          <c:val>
            <c:numRef>
              <c:f>Sheet1!$D$35:$D$37</c:f>
              <c:numCache>
                <c:formatCode>General</c:formatCode>
                <c:ptCount val="3"/>
                <c:pt idx="0">
                  <c:v>18.0</c:v>
                </c:pt>
                <c:pt idx="1">
                  <c:v>1.0</c:v>
                </c:pt>
                <c:pt idx="2">
                  <c:v>11.0</c:v>
                </c:pt>
              </c:numCache>
            </c:numRef>
          </c:val>
        </c:ser>
        <c:dLbls>
          <c:showLegendKey val="0"/>
          <c:showVal val="0"/>
          <c:showCatName val="0"/>
          <c:showSerName val="0"/>
          <c:showPercent val="0"/>
          <c:showBubbleSize val="0"/>
        </c:dLbls>
        <c:gapWidth val="150"/>
        <c:axId val="49223936"/>
        <c:axId val="49225728"/>
      </c:barChart>
      <c:catAx>
        <c:axId val="49223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25728"/>
        <c:crosses val="autoZero"/>
        <c:auto val="1"/>
        <c:lblAlgn val="ctr"/>
        <c:lblOffset val="100"/>
        <c:noMultiLvlLbl val="0"/>
      </c:catAx>
      <c:valAx>
        <c:axId val="49225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23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CSR</a:t>
            </a:r>
            <a:r>
              <a:rPr lang="en-ZA" baseline="0"/>
              <a:t> adoption per participants org afilliation</a:t>
            </a:r>
            <a:endParaRPr lang="en-ZA"/>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Sheet1!$B$52:$B$54</c:f>
              <c:strCache>
                <c:ptCount val="3"/>
                <c:pt idx="0">
                  <c:v>Org does CSR (Yes)</c:v>
                </c:pt>
                <c:pt idx="1">
                  <c:v>Org does CSR (No)</c:v>
                </c:pt>
                <c:pt idx="2">
                  <c:v>org does CSR (NA)</c:v>
                </c:pt>
              </c:strCache>
            </c:strRef>
          </c:cat>
          <c:val>
            <c:numRef>
              <c:f>Sheet1!$C$52:$C$54</c:f>
              <c:numCache>
                <c:formatCode>General</c:formatCode>
                <c:ptCount val="3"/>
                <c:pt idx="0">
                  <c:v>10.0</c:v>
                </c:pt>
                <c:pt idx="1">
                  <c:v>8.0</c:v>
                </c:pt>
                <c:pt idx="2">
                  <c:v>12.0</c:v>
                </c:pt>
              </c:numCache>
            </c:numRef>
          </c:val>
        </c:ser>
        <c:dLbls>
          <c:showLegendKey val="0"/>
          <c:showVal val="0"/>
          <c:showCatName val="0"/>
          <c:showSerName val="0"/>
          <c:showPercent val="0"/>
          <c:showBubbleSize val="0"/>
        </c:dLbls>
        <c:gapWidth val="219"/>
        <c:overlap val="-27"/>
        <c:axId val="49270784"/>
        <c:axId val="49272320"/>
      </c:barChart>
      <c:catAx>
        <c:axId val="49270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72320"/>
        <c:crosses val="autoZero"/>
        <c:auto val="1"/>
        <c:lblAlgn val="ctr"/>
        <c:lblOffset val="100"/>
        <c:noMultiLvlLbl val="0"/>
      </c:catAx>
      <c:valAx>
        <c:axId val="49272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270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Participants</a:t>
            </a:r>
            <a:r>
              <a:rPr lang="en-ZA" baseline="0"/>
              <a:t> option for CSR per afilliation org</a:t>
            </a:r>
            <a:endParaRPr lang="en-ZA"/>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Sheet1!$C$74:$C$78</c:f>
              <c:strCache>
                <c:ptCount val="5"/>
                <c:pt idx="0">
                  <c:v>CSR type (sports)</c:v>
                </c:pt>
                <c:pt idx="1">
                  <c:v>CSR type (Edu)</c:v>
                </c:pt>
                <c:pt idx="2">
                  <c:v>CSR type (Health)</c:v>
                </c:pt>
                <c:pt idx="3">
                  <c:v>CSR type (NA)</c:v>
                </c:pt>
                <c:pt idx="4">
                  <c:v>CSR type (Other)</c:v>
                </c:pt>
              </c:strCache>
            </c:strRef>
          </c:cat>
          <c:val>
            <c:numRef>
              <c:f>Sheet1!$D$74:$D$78</c:f>
              <c:numCache>
                <c:formatCode>General</c:formatCode>
                <c:ptCount val="5"/>
                <c:pt idx="0">
                  <c:v>4.0</c:v>
                </c:pt>
                <c:pt idx="1">
                  <c:v>4.0</c:v>
                </c:pt>
                <c:pt idx="2">
                  <c:v>1.0</c:v>
                </c:pt>
                <c:pt idx="3">
                  <c:v>21.0</c:v>
                </c:pt>
                <c:pt idx="4">
                  <c:v>0.0</c:v>
                </c:pt>
              </c:numCache>
            </c:numRef>
          </c:val>
        </c:ser>
        <c:dLbls>
          <c:showLegendKey val="0"/>
          <c:showVal val="1"/>
          <c:showCatName val="0"/>
          <c:showSerName val="0"/>
          <c:showPercent val="0"/>
          <c:showBubbleSize val="0"/>
        </c:dLbls>
        <c:gapWidth val="219"/>
        <c:overlap val="-27"/>
        <c:axId val="49391104"/>
        <c:axId val="49392640"/>
      </c:barChart>
      <c:catAx>
        <c:axId val="49391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92640"/>
        <c:crosses val="autoZero"/>
        <c:auto val="1"/>
        <c:lblAlgn val="ctr"/>
        <c:lblOffset val="100"/>
        <c:noMultiLvlLbl val="0"/>
      </c:catAx>
      <c:valAx>
        <c:axId val="49392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391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Participants</a:t>
            </a:r>
            <a:r>
              <a:rPr lang="en-ZA" baseline="0"/>
              <a:t> perception on CSR drivers and drawbacks</a:t>
            </a:r>
            <a:endParaRPr lang="en-ZA"/>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Sheet1!$C$99:$C$108</c:f>
              <c:strCache>
                <c:ptCount val="10"/>
                <c:pt idx="0">
                  <c:v>Drivers 4 CSR (Glob)</c:v>
                </c:pt>
                <c:pt idx="1">
                  <c:v>Drivers 4 CSR (Brand)</c:v>
                </c:pt>
                <c:pt idx="2">
                  <c:v>Drivers 4 CSR (Ethic)</c:v>
                </c:pt>
                <c:pt idx="3">
                  <c:v>Drivers 4 CSR (NA)</c:v>
                </c:pt>
                <c:pt idx="5">
                  <c:v>Drawback 4 CSR (Poli)</c:v>
                </c:pt>
                <c:pt idx="6">
                  <c:v>Drawback 4 CSR (Econ)</c:v>
                </c:pt>
                <c:pt idx="7">
                  <c:v>Drawback 4 CSR (own se)</c:v>
                </c:pt>
                <c:pt idx="8">
                  <c:v>Drawback 4 CSR (Corr)</c:v>
                </c:pt>
                <c:pt idx="9">
                  <c:v>Drawback 4 CSR (NA)</c:v>
                </c:pt>
              </c:strCache>
            </c:strRef>
          </c:cat>
          <c:val>
            <c:numRef>
              <c:f>Sheet1!$D$99:$D$108</c:f>
              <c:numCache>
                <c:formatCode>General</c:formatCode>
                <c:ptCount val="10"/>
                <c:pt idx="0">
                  <c:v>2.0</c:v>
                </c:pt>
                <c:pt idx="1">
                  <c:v>5.0</c:v>
                </c:pt>
                <c:pt idx="2">
                  <c:v>2.0</c:v>
                </c:pt>
                <c:pt idx="3">
                  <c:v>21.0</c:v>
                </c:pt>
                <c:pt idx="5">
                  <c:v>5.0</c:v>
                </c:pt>
                <c:pt idx="6">
                  <c:v>0.0</c:v>
                </c:pt>
                <c:pt idx="7">
                  <c:v>0.0</c:v>
                </c:pt>
                <c:pt idx="8">
                  <c:v>4.0</c:v>
                </c:pt>
                <c:pt idx="9">
                  <c:v>21.0</c:v>
                </c:pt>
              </c:numCache>
            </c:numRef>
          </c:val>
        </c:ser>
        <c:dLbls>
          <c:showLegendKey val="0"/>
          <c:showVal val="0"/>
          <c:showCatName val="0"/>
          <c:showSerName val="0"/>
          <c:showPercent val="0"/>
          <c:showBubbleSize val="0"/>
        </c:dLbls>
        <c:gapWidth val="219"/>
        <c:overlap val="-27"/>
        <c:axId val="49409024"/>
        <c:axId val="68895488"/>
      </c:barChart>
      <c:catAx>
        <c:axId val="49409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895488"/>
        <c:crosses val="autoZero"/>
        <c:auto val="1"/>
        <c:lblAlgn val="ctr"/>
        <c:lblOffset val="100"/>
        <c:noMultiLvlLbl val="0"/>
      </c:catAx>
      <c:valAx>
        <c:axId val="68895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40902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Mode</a:t>
            </a:r>
            <a:r>
              <a:rPr lang="en-US" baseline="0"/>
              <a:t> of CSR sponsorship per participants perception</a:t>
            </a:r>
            <a:r>
              <a:rPr lang="en-US"/>
              <a:t> </a:t>
            </a: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Sheet2!$A$1:$A$4</c:f>
              <c:strCache>
                <c:ptCount val="4"/>
                <c:pt idx="0">
                  <c:v>Mode of CSR spo (league)</c:v>
                </c:pt>
                <c:pt idx="1">
                  <c:v>Mode of CSR spo (team)</c:v>
                </c:pt>
                <c:pt idx="2">
                  <c:v>Mode of CSR spo (both)</c:v>
                </c:pt>
                <c:pt idx="3">
                  <c:v>Mode of CSR spo (NA)</c:v>
                </c:pt>
              </c:strCache>
            </c:strRef>
          </c:cat>
          <c:val>
            <c:numRef>
              <c:f>Sheet2!$B$1:$B$4</c:f>
              <c:numCache>
                <c:formatCode>General</c:formatCode>
                <c:ptCount val="4"/>
                <c:pt idx="0">
                  <c:v>2.0</c:v>
                </c:pt>
                <c:pt idx="1">
                  <c:v>2.0</c:v>
                </c:pt>
                <c:pt idx="2">
                  <c:v>0.0</c:v>
                </c:pt>
                <c:pt idx="3">
                  <c:v>26.0</c:v>
                </c:pt>
              </c:numCache>
            </c:numRef>
          </c:val>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Sheet2!$A$1:$A$4</c:f>
              <c:strCache>
                <c:ptCount val="4"/>
                <c:pt idx="0">
                  <c:v>Mode of CSR spo (league)</c:v>
                </c:pt>
                <c:pt idx="1">
                  <c:v>Mode of CSR spo (team)</c:v>
                </c:pt>
                <c:pt idx="2">
                  <c:v>Mode of CSR spo (both)</c:v>
                </c:pt>
                <c:pt idx="3">
                  <c:v>Mode of CSR spo (NA)</c:v>
                </c:pt>
              </c:strCache>
            </c:strRef>
          </c:cat>
          <c:val>
            <c:numRef>
              <c:f>Sheet2!$C$1:$C$4</c:f>
              <c:numCache>
                <c:formatCode>0.00%</c:formatCode>
                <c:ptCount val="4"/>
                <c:pt idx="0">
                  <c:v>0.0666</c:v>
                </c:pt>
                <c:pt idx="1">
                  <c:v>0.0666</c:v>
                </c:pt>
                <c:pt idx="2" formatCode="0%">
                  <c:v>0.0</c:v>
                </c:pt>
                <c:pt idx="3">
                  <c:v>0.8666</c:v>
                </c:pt>
              </c:numCache>
            </c:numRef>
          </c:val>
        </c:ser>
        <c:dLbls>
          <c:showLegendKey val="0"/>
          <c:showVal val="0"/>
          <c:showCatName val="0"/>
          <c:showSerName val="0"/>
          <c:showPercent val="0"/>
          <c:showBubbleSize val="0"/>
        </c:dLbls>
        <c:gapWidth val="219"/>
        <c:overlap val="-27"/>
        <c:axId val="69287296"/>
        <c:axId val="69293184"/>
      </c:barChart>
      <c:catAx>
        <c:axId val="69287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293184"/>
        <c:crosses val="autoZero"/>
        <c:auto val="1"/>
        <c:lblAlgn val="ctr"/>
        <c:lblOffset val="100"/>
        <c:noMultiLvlLbl val="0"/>
      </c:catAx>
      <c:valAx>
        <c:axId val="69293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287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Mode</a:t>
            </a:r>
            <a:r>
              <a:rPr lang="en-US" baseline="0"/>
              <a:t> of CSR Sposorship and its period</a:t>
            </a:r>
            <a:endParaRPr lang="en-US"/>
          </a:p>
        </c:rich>
      </c:tx>
      <c:overlay val="0"/>
      <c:spPr>
        <a:noFill/>
        <a:ln>
          <a:noFill/>
        </a:ln>
        <a:effectLst/>
      </c:sp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Sheet2!$C$27:$C$37</c:f>
              <c:strCache>
                <c:ptCount val="11"/>
                <c:pt idx="0">
                  <c:v>Period of spons (&lt;5yrs)</c:v>
                </c:pt>
                <c:pt idx="1">
                  <c:v>Period of spons (5-10yrs)</c:v>
                </c:pt>
                <c:pt idx="2">
                  <c:v>Period of spons (11-15yrs)</c:v>
                </c:pt>
                <c:pt idx="3">
                  <c:v>Period of spons (16-20yrs)</c:v>
                </c:pt>
                <c:pt idx="4">
                  <c:v>Period of spons (&gt;20yrs)</c:v>
                </c:pt>
                <c:pt idx="6">
                  <c:v>Team spons state (Dire)</c:v>
                </c:pt>
                <c:pt idx="7">
                  <c:v>Team spons state (Fair)</c:v>
                </c:pt>
                <c:pt idx="8">
                  <c:v>Team spons state (Both)</c:v>
                </c:pt>
                <c:pt idx="9">
                  <c:v>Team spons state (Other)</c:v>
                </c:pt>
                <c:pt idx="10">
                  <c:v>Team spons state (NA)</c:v>
                </c:pt>
              </c:strCache>
            </c:strRef>
          </c:cat>
          <c:val>
            <c:numRef>
              <c:f>Sheet2!$D$27:$D$37</c:f>
              <c:numCache>
                <c:formatCode>General</c:formatCode>
                <c:ptCount val="11"/>
                <c:pt idx="0">
                  <c:v>2.0</c:v>
                </c:pt>
                <c:pt idx="1">
                  <c:v>0.0</c:v>
                </c:pt>
                <c:pt idx="2">
                  <c:v>0.0</c:v>
                </c:pt>
                <c:pt idx="3">
                  <c:v>2.0</c:v>
                </c:pt>
                <c:pt idx="4">
                  <c:v>26.0</c:v>
                </c:pt>
                <c:pt idx="6">
                  <c:v>2.0</c:v>
                </c:pt>
                <c:pt idx="7">
                  <c:v>0.0</c:v>
                </c:pt>
                <c:pt idx="8">
                  <c:v>0.0</c:v>
                </c:pt>
                <c:pt idx="9">
                  <c:v>0.0</c:v>
                </c:pt>
                <c:pt idx="10">
                  <c:v>28.0</c:v>
                </c:pt>
              </c:numCache>
            </c:numRef>
          </c:val>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Sheet2!$C$27:$C$37</c:f>
              <c:strCache>
                <c:ptCount val="11"/>
                <c:pt idx="0">
                  <c:v>Period of spons (&lt;5yrs)</c:v>
                </c:pt>
                <c:pt idx="1">
                  <c:v>Period of spons (5-10yrs)</c:v>
                </c:pt>
                <c:pt idx="2">
                  <c:v>Period of spons (11-15yrs)</c:v>
                </c:pt>
                <c:pt idx="3">
                  <c:v>Period of spons (16-20yrs)</c:v>
                </c:pt>
                <c:pt idx="4">
                  <c:v>Period of spons (&gt;20yrs)</c:v>
                </c:pt>
                <c:pt idx="6">
                  <c:v>Team spons state (Dire)</c:v>
                </c:pt>
                <c:pt idx="7">
                  <c:v>Team spons state (Fair)</c:v>
                </c:pt>
                <c:pt idx="8">
                  <c:v>Team spons state (Both)</c:v>
                </c:pt>
                <c:pt idx="9">
                  <c:v>Team spons state (Other)</c:v>
                </c:pt>
                <c:pt idx="10">
                  <c:v>Team spons state (NA)</c:v>
                </c:pt>
              </c:strCache>
            </c:strRef>
          </c:cat>
          <c:val>
            <c:numRef>
              <c:f>Sheet2!$E$27:$E$37</c:f>
              <c:numCache>
                <c:formatCode>0%</c:formatCode>
                <c:ptCount val="11"/>
                <c:pt idx="0" formatCode="0.00%">
                  <c:v>0.0666</c:v>
                </c:pt>
                <c:pt idx="1">
                  <c:v>0.0</c:v>
                </c:pt>
                <c:pt idx="2">
                  <c:v>0.0</c:v>
                </c:pt>
                <c:pt idx="3" formatCode="0.00%">
                  <c:v>0.0666</c:v>
                </c:pt>
                <c:pt idx="4" formatCode="0.00%">
                  <c:v>0.8666</c:v>
                </c:pt>
                <c:pt idx="6" formatCode="General">
                  <c:v>0.0</c:v>
                </c:pt>
                <c:pt idx="7">
                  <c:v>0.0</c:v>
                </c:pt>
                <c:pt idx="8">
                  <c:v>0.0</c:v>
                </c:pt>
                <c:pt idx="9">
                  <c:v>0.0</c:v>
                </c:pt>
                <c:pt idx="10" formatCode="0.00%">
                  <c:v>0.9333</c:v>
                </c:pt>
              </c:numCache>
            </c:numRef>
          </c:val>
        </c:ser>
        <c:dLbls>
          <c:showLegendKey val="0"/>
          <c:showVal val="0"/>
          <c:showCatName val="0"/>
          <c:showSerName val="0"/>
          <c:showPercent val="0"/>
          <c:showBubbleSize val="0"/>
        </c:dLbls>
        <c:gapWidth val="182"/>
        <c:axId val="69323008"/>
        <c:axId val="69468160"/>
      </c:barChart>
      <c:catAx>
        <c:axId val="693230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468160"/>
        <c:crosses val="autoZero"/>
        <c:auto val="1"/>
        <c:lblAlgn val="ctr"/>
        <c:lblOffset val="100"/>
        <c:noMultiLvlLbl val="0"/>
      </c:catAx>
      <c:valAx>
        <c:axId val="694681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323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Participants</a:t>
            </a:r>
            <a:r>
              <a:rPr lang="en-US" baseline="0"/>
              <a:t> perception on football retention and their degree</a:t>
            </a:r>
            <a:r>
              <a:rPr lang="en-US"/>
              <a:t> </a:t>
            </a:r>
          </a:p>
        </c:rich>
      </c:tx>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Sheet2!$B$48:$B$55</c:f>
              <c:strCache>
                <c:ptCount val="8"/>
                <c:pt idx="0">
                  <c:v>Footall spons retai csto (Yes)</c:v>
                </c:pt>
                <c:pt idx="1">
                  <c:v>Footall spons retai csto (No)</c:v>
                </c:pt>
                <c:pt idx="2">
                  <c:v>Footall spons retai csto (NA)</c:v>
                </c:pt>
                <c:pt idx="4">
                  <c:v>Level of cust rete (High)</c:v>
                </c:pt>
                <c:pt idx="5">
                  <c:v>Level of cust rete (Medium)</c:v>
                </c:pt>
                <c:pt idx="6">
                  <c:v>Level of cust rete (Low)</c:v>
                </c:pt>
                <c:pt idx="7">
                  <c:v>Level of cust rete (NA)</c:v>
                </c:pt>
              </c:strCache>
            </c:strRef>
          </c:cat>
          <c:val>
            <c:numRef>
              <c:f>Sheet2!$C$48:$C$55</c:f>
              <c:numCache>
                <c:formatCode>General</c:formatCode>
                <c:ptCount val="8"/>
                <c:pt idx="0">
                  <c:v>4.0</c:v>
                </c:pt>
                <c:pt idx="1">
                  <c:v>0.0</c:v>
                </c:pt>
                <c:pt idx="2">
                  <c:v>26.0</c:v>
                </c:pt>
                <c:pt idx="4">
                  <c:v>2.0</c:v>
                </c:pt>
                <c:pt idx="5">
                  <c:v>2.0</c:v>
                </c:pt>
                <c:pt idx="6">
                  <c:v>0.0</c:v>
                </c:pt>
                <c:pt idx="7">
                  <c:v>26.0</c:v>
                </c:pt>
              </c:numCache>
            </c:numRef>
          </c:val>
        </c:ser>
        <c:ser>
          <c:idx val="1"/>
          <c:order val="1"/>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Sheet2!$B$48:$B$55</c:f>
              <c:strCache>
                <c:ptCount val="8"/>
                <c:pt idx="0">
                  <c:v>Footall spons retai csto (Yes)</c:v>
                </c:pt>
                <c:pt idx="1">
                  <c:v>Footall spons retai csto (No)</c:v>
                </c:pt>
                <c:pt idx="2">
                  <c:v>Footall spons retai csto (NA)</c:v>
                </c:pt>
                <c:pt idx="4">
                  <c:v>Level of cust rete (High)</c:v>
                </c:pt>
                <c:pt idx="5">
                  <c:v>Level of cust rete (Medium)</c:v>
                </c:pt>
                <c:pt idx="6">
                  <c:v>Level of cust rete (Low)</c:v>
                </c:pt>
                <c:pt idx="7">
                  <c:v>Level of cust rete (NA)</c:v>
                </c:pt>
              </c:strCache>
            </c:strRef>
          </c:cat>
          <c:val>
            <c:numRef>
              <c:f>Sheet2!$D$48:$D$55</c:f>
              <c:numCache>
                <c:formatCode>0%</c:formatCode>
                <c:ptCount val="8"/>
                <c:pt idx="0" formatCode="0.00%">
                  <c:v>0.1333</c:v>
                </c:pt>
                <c:pt idx="1">
                  <c:v>0.0</c:v>
                </c:pt>
                <c:pt idx="2" formatCode="0.00%">
                  <c:v>0.8666</c:v>
                </c:pt>
                <c:pt idx="4" formatCode="0.00%">
                  <c:v>0.0666</c:v>
                </c:pt>
                <c:pt idx="5" formatCode="0.00%">
                  <c:v>0.0666</c:v>
                </c:pt>
                <c:pt idx="6">
                  <c:v>0.0</c:v>
                </c:pt>
                <c:pt idx="7" formatCode="0.00%">
                  <c:v>0.8666</c:v>
                </c:pt>
              </c:numCache>
            </c:numRef>
          </c:val>
        </c:ser>
        <c:dLbls>
          <c:showLegendKey val="0"/>
          <c:showVal val="1"/>
          <c:showCatName val="0"/>
          <c:showSerName val="0"/>
          <c:showPercent val="0"/>
          <c:showBubbleSize val="0"/>
        </c:dLbls>
        <c:gapWidth val="150"/>
        <c:shape val="box"/>
        <c:axId val="69555712"/>
        <c:axId val="69557248"/>
        <c:axId val="0"/>
      </c:bar3DChart>
      <c:catAx>
        <c:axId val="695557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57248"/>
        <c:crosses val="autoZero"/>
        <c:auto val="1"/>
        <c:lblAlgn val="ctr"/>
        <c:lblOffset val="100"/>
        <c:noMultiLvlLbl val="0"/>
      </c:catAx>
      <c:valAx>
        <c:axId val="6955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557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Participants</a:t>
            </a:r>
            <a:r>
              <a:rPr lang="en-US" baseline="0"/>
              <a:t> options for improvemet of CSR</a:t>
            </a:r>
            <a:endParaRPr lang="en-US"/>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Sheet2!$B$69:$B$71</c:f>
              <c:strCache>
                <c:ptCount val="3"/>
                <c:pt idx="0">
                  <c:v>CSR improvement mode (more inter with cust)</c:v>
                </c:pt>
                <c:pt idx="1">
                  <c:v>CSR improvement mode (other than more inter with cust)</c:v>
                </c:pt>
                <c:pt idx="2">
                  <c:v>CSR improvement mode (NA)</c:v>
                </c:pt>
              </c:strCache>
            </c:strRef>
          </c:cat>
          <c:val>
            <c:numRef>
              <c:f>Sheet2!$C$69:$C$71</c:f>
              <c:numCache>
                <c:formatCode>General</c:formatCode>
                <c:ptCount val="3"/>
                <c:pt idx="0">
                  <c:v>4.0</c:v>
                </c:pt>
                <c:pt idx="1">
                  <c:v>0.0</c:v>
                </c:pt>
                <c:pt idx="2">
                  <c:v>26.0</c:v>
                </c:pt>
              </c:numCache>
            </c:numRef>
          </c:val>
          <c:smooth val="0"/>
        </c:ser>
        <c:dLbls>
          <c:showLegendKey val="0"/>
          <c:showVal val="0"/>
          <c:showCatName val="0"/>
          <c:showSerName val="0"/>
          <c:showPercent val="0"/>
          <c:showBubbleSize val="0"/>
        </c:dLbls>
        <c:smooth val="0"/>
        <c:axId val="69595904"/>
        <c:axId val="69597440"/>
      </c:lineChart>
      <c:catAx>
        <c:axId val="6959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97440"/>
        <c:crosses val="autoZero"/>
        <c:auto val="1"/>
        <c:lblAlgn val="ctr"/>
        <c:lblOffset val="100"/>
        <c:noMultiLvlLbl val="0"/>
      </c:catAx>
      <c:valAx>
        <c:axId val="69597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595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Participants</a:t>
            </a:r>
            <a:r>
              <a:rPr lang="en-US" baseline="0"/>
              <a:t> perception on football sponsorship TNM &amp; FDH awareness</a:t>
            </a:r>
            <a:r>
              <a:rPr lang="en-US"/>
              <a:t> </a:t>
            </a:r>
          </a:p>
        </c:rich>
      </c:tx>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Sheet2!$C$90:$C$98</c:f>
              <c:strCache>
                <c:ptCount val="9"/>
                <c:pt idx="0">
                  <c:v>Percep of foot spons (Excell)</c:v>
                </c:pt>
                <c:pt idx="1">
                  <c:v>Percep of foot spons (V.good)</c:v>
                </c:pt>
                <c:pt idx="2">
                  <c:v>Percep of foot spons (good)</c:v>
                </c:pt>
                <c:pt idx="3">
                  <c:v>Percep of foot spons (bad)</c:v>
                </c:pt>
                <c:pt idx="4">
                  <c:v>Percep of foot spons (NA)</c:v>
                </c:pt>
                <c:pt idx="6">
                  <c:v>FDH &amp; TNM brand awareness (Yes)</c:v>
                </c:pt>
                <c:pt idx="7">
                  <c:v>FDH &amp; TNM brand awareness (No)</c:v>
                </c:pt>
                <c:pt idx="8">
                  <c:v>FDH &amp; TNM brand awareness (NA)</c:v>
                </c:pt>
              </c:strCache>
            </c:strRef>
          </c:cat>
          <c:val>
            <c:numRef>
              <c:f>Sheet2!$D$90:$D$98</c:f>
              <c:numCache>
                <c:formatCode>General</c:formatCode>
                <c:ptCount val="9"/>
                <c:pt idx="0">
                  <c:v>8.0</c:v>
                </c:pt>
                <c:pt idx="1">
                  <c:v>2.0</c:v>
                </c:pt>
                <c:pt idx="2">
                  <c:v>14.0</c:v>
                </c:pt>
                <c:pt idx="3">
                  <c:v>0.0</c:v>
                </c:pt>
                <c:pt idx="4">
                  <c:v>6.0</c:v>
                </c:pt>
                <c:pt idx="6">
                  <c:v>24.0</c:v>
                </c:pt>
                <c:pt idx="7">
                  <c:v>0.0</c:v>
                </c:pt>
                <c:pt idx="8">
                  <c:v>6.0</c:v>
                </c:pt>
              </c:numCache>
            </c:numRef>
          </c:val>
          <c:smooth val="0"/>
        </c:ser>
        <c:ser>
          <c:idx val="1"/>
          <c:order val="1"/>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Sheet2!$C$90:$C$98</c:f>
              <c:strCache>
                <c:ptCount val="9"/>
                <c:pt idx="0">
                  <c:v>Percep of foot spons (Excell)</c:v>
                </c:pt>
                <c:pt idx="1">
                  <c:v>Percep of foot spons (V.good)</c:v>
                </c:pt>
                <c:pt idx="2">
                  <c:v>Percep of foot spons (good)</c:v>
                </c:pt>
                <c:pt idx="3">
                  <c:v>Percep of foot spons (bad)</c:v>
                </c:pt>
                <c:pt idx="4">
                  <c:v>Percep of foot spons (NA)</c:v>
                </c:pt>
                <c:pt idx="6">
                  <c:v>FDH &amp; TNM brand awareness (Yes)</c:v>
                </c:pt>
                <c:pt idx="7">
                  <c:v>FDH &amp; TNM brand awareness (No)</c:v>
                </c:pt>
                <c:pt idx="8">
                  <c:v>FDH &amp; TNM brand awareness (NA)</c:v>
                </c:pt>
              </c:strCache>
            </c:strRef>
          </c:cat>
          <c:val>
            <c:numRef>
              <c:f>Sheet2!$E$90:$E$98</c:f>
              <c:numCache>
                <c:formatCode>0.00%</c:formatCode>
                <c:ptCount val="9"/>
                <c:pt idx="0">
                  <c:v>0.2666</c:v>
                </c:pt>
                <c:pt idx="1">
                  <c:v>0.0666</c:v>
                </c:pt>
                <c:pt idx="2">
                  <c:v>0.4666</c:v>
                </c:pt>
                <c:pt idx="3" formatCode="0%">
                  <c:v>0.0</c:v>
                </c:pt>
                <c:pt idx="4" formatCode="0%">
                  <c:v>0.2</c:v>
                </c:pt>
                <c:pt idx="6" formatCode="0%">
                  <c:v>0.8</c:v>
                </c:pt>
                <c:pt idx="7" formatCode="0%">
                  <c:v>0.0</c:v>
                </c:pt>
                <c:pt idx="8" formatCode="0%">
                  <c:v>0.2</c:v>
                </c:pt>
              </c:numCache>
            </c:numRef>
          </c:val>
          <c:smooth val="0"/>
        </c:ser>
        <c:dLbls>
          <c:showLegendKey val="0"/>
          <c:showVal val="0"/>
          <c:showCatName val="0"/>
          <c:showSerName val="0"/>
          <c:showPercent val="0"/>
          <c:showBubbleSize val="0"/>
        </c:dLbls>
        <c:smooth val="0"/>
        <c:axId val="69774720"/>
        <c:axId val="69780608"/>
      </c:lineChart>
      <c:catAx>
        <c:axId val="69774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80608"/>
        <c:crosses val="autoZero"/>
        <c:auto val="1"/>
        <c:lblAlgn val="ctr"/>
        <c:lblOffset val="100"/>
        <c:noMultiLvlLbl val="0"/>
      </c:catAx>
      <c:valAx>
        <c:axId val="69780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77472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Participants</a:t>
            </a:r>
            <a:r>
              <a:rPr lang="en-US" baseline="0"/>
              <a:t> perception on mode of football sponsorship influencing customer retention</a:t>
            </a:r>
            <a:endParaRPr lang="en-US"/>
          </a:p>
        </c:rich>
      </c:tx>
      <c:overlay val="0"/>
      <c:spPr>
        <a:noFill/>
        <a:ln>
          <a:noFill/>
        </a:ln>
        <a:effectLst/>
      </c:sp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Sheet2!$B$139:$B$145</c:f>
              <c:strCache>
                <c:ptCount val="7"/>
                <c:pt idx="0">
                  <c:v>Footall spons promoting cust retention (Yes)</c:v>
                </c:pt>
                <c:pt idx="1">
                  <c:v>Footall spons promoting cust retention (No)</c:v>
                </c:pt>
                <c:pt idx="2">
                  <c:v>Footall spons promoting cust retention (Yes)</c:v>
                </c:pt>
                <c:pt idx="4">
                  <c:v>Mode of cust retent (fans patro of promoters busi)</c:v>
                </c:pt>
                <c:pt idx="5">
                  <c:v>Mode of cust retent (other than fans patro of promoters busi)</c:v>
                </c:pt>
                <c:pt idx="6">
                  <c:v>Mode of cust retent (NA)</c:v>
                </c:pt>
              </c:strCache>
            </c:strRef>
          </c:cat>
          <c:val>
            <c:numRef>
              <c:f>Sheet2!$C$139:$C$145</c:f>
              <c:numCache>
                <c:formatCode>General</c:formatCode>
                <c:ptCount val="7"/>
                <c:pt idx="0">
                  <c:v>24.0</c:v>
                </c:pt>
                <c:pt idx="1">
                  <c:v>0.0</c:v>
                </c:pt>
                <c:pt idx="2">
                  <c:v>6.0</c:v>
                </c:pt>
                <c:pt idx="4">
                  <c:v>24.0</c:v>
                </c:pt>
                <c:pt idx="5">
                  <c:v>0.0</c:v>
                </c:pt>
                <c:pt idx="6">
                  <c:v>6.0</c:v>
                </c:pt>
              </c:numCache>
            </c:numRef>
          </c:val>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Sheet2!$B$139:$B$145</c:f>
              <c:strCache>
                <c:ptCount val="7"/>
                <c:pt idx="0">
                  <c:v>Footall spons promoting cust retention (Yes)</c:v>
                </c:pt>
                <c:pt idx="1">
                  <c:v>Footall spons promoting cust retention (No)</c:v>
                </c:pt>
                <c:pt idx="2">
                  <c:v>Footall spons promoting cust retention (Yes)</c:v>
                </c:pt>
                <c:pt idx="4">
                  <c:v>Mode of cust retent (fans patro of promoters busi)</c:v>
                </c:pt>
                <c:pt idx="5">
                  <c:v>Mode of cust retent (other than fans patro of promoters busi)</c:v>
                </c:pt>
                <c:pt idx="6">
                  <c:v>Mode of cust retent (NA)</c:v>
                </c:pt>
              </c:strCache>
            </c:strRef>
          </c:cat>
          <c:val>
            <c:numRef>
              <c:f>Sheet2!$D$139:$D$145</c:f>
              <c:numCache>
                <c:formatCode>0%</c:formatCode>
                <c:ptCount val="7"/>
                <c:pt idx="0">
                  <c:v>0.8</c:v>
                </c:pt>
                <c:pt idx="1">
                  <c:v>0.0</c:v>
                </c:pt>
                <c:pt idx="2">
                  <c:v>0.2</c:v>
                </c:pt>
                <c:pt idx="4">
                  <c:v>0.8</c:v>
                </c:pt>
                <c:pt idx="5">
                  <c:v>0.0</c:v>
                </c:pt>
                <c:pt idx="6">
                  <c:v>0.2</c:v>
                </c:pt>
              </c:numCache>
            </c:numRef>
          </c:val>
        </c:ser>
        <c:dLbls>
          <c:showLegendKey val="0"/>
          <c:showVal val="1"/>
          <c:showCatName val="0"/>
          <c:showSerName val="0"/>
          <c:showPercent val="0"/>
          <c:showBubbleSize val="0"/>
        </c:dLbls>
        <c:gapWidth val="182"/>
        <c:axId val="70378240"/>
        <c:axId val="70379776"/>
      </c:barChart>
      <c:catAx>
        <c:axId val="7037824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379776"/>
        <c:crosses val="autoZero"/>
        <c:auto val="1"/>
        <c:lblAlgn val="ctr"/>
        <c:lblOffset val="100"/>
        <c:noMultiLvlLbl val="0"/>
      </c:catAx>
      <c:valAx>
        <c:axId val="70379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37824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Participants</a:t>
            </a:r>
            <a:r>
              <a:rPr lang="en-US" baseline="0"/>
              <a:t> perception on mode of football sponsorship influencing customer retention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Sheet2!$B$139:$B$145</c:f>
              <c:strCache>
                <c:ptCount val="7"/>
                <c:pt idx="0">
                  <c:v>Footall spons promoting cust retention (Yes)</c:v>
                </c:pt>
                <c:pt idx="1">
                  <c:v>Footall spons promoting cust retention (No)</c:v>
                </c:pt>
                <c:pt idx="2">
                  <c:v>Footall spons promoting cust retention (Yes)</c:v>
                </c:pt>
                <c:pt idx="4">
                  <c:v>Mode of cust retent (fans patro of promoters busi)</c:v>
                </c:pt>
                <c:pt idx="5">
                  <c:v>Mode of cust retent (other than fans patro of promoters busi)</c:v>
                </c:pt>
                <c:pt idx="6">
                  <c:v>Mode of cust retent (NA)</c:v>
                </c:pt>
              </c:strCache>
            </c:strRef>
          </c:cat>
          <c:val>
            <c:numRef>
              <c:f>Sheet2!$C$139:$C$145</c:f>
              <c:numCache>
                <c:formatCode>General</c:formatCode>
                <c:ptCount val="7"/>
                <c:pt idx="0">
                  <c:v>24.0</c:v>
                </c:pt>
                <c:pt idx="1">
                  <c:v>0.0</c:v>
                </c:pt>
                <c:pt idx="2">
                  <c:v>6.0</c:v>
                </c:pt>
                <c:pt idx="4">
                  <c:v>24.0</c:v>
                </c:pt>
                <c:pt idx="5">
                  <c:v>0.0</c:v>
                </c:pt>
                <c:pt idx="6">
                  <c:v>6.0</c:v>
                </c:pt>
              </c:numCache>
            </c:numRef>
          </c:val>
        </c:ser>
        <c:ser>
          <c:idx val="1"/>
          <c:order val="1"/>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Sheet2!$B$139:$B$145</c:f>
              <c:strCache>
                <c:ptCount val="7"/>
                <c:pt idx="0">
                  <c:v>Footall spons promoting cust retention (Yes)</c:v>
                </c:pt>
                <c:pt idx="1">
                  <c:v>Footall spons promoting cust retention (No)</c:v>
                </c:pt>
                <c:pt idx="2">
                  <c:v>Footall spons promoting cust retention (Yes)</c:v>
                </c:pt>
                <c:pt idx="4">
                  <c:v>Mode of cust retent (fans patro of promoters busi)</c:v>
                </c:pt>
                <c:pt idx="5">
                  <c:v>Mode of cust retent (other than fans patro of promoters busi)</c:v>
                </c:pt>
                <c:pt idx="6">
                  <c:v>Mode of cust retent (NA)</c:v>
                </c:pt>
              </c:strCache>
            </c:strRef>
          </c:cat>
          <c:val>
            <c:numRef>
              <c:f>Sheet2!$D$139:$D$145</c:f>
              <c:numCache>
                <c:formatCode>0%</c:formatCode>
                <c:ptCount val="7"/>
                <c:pt idx="0">
                  <c:v>0.8</c:v>
                </c:pt>
                <c:pt idx="1">
                  <c:v>0.0</c:v>
                </c:pt>
                <c:pt idx="2">
                  <c:v>0.2</c:v>
                </c:pt>
                <c:pt idx="4">
                  <c:v>0.8</c:v>
                </c:pt>
                <c:pt idx="5">
                  <c:v>0.0</c:v>
                </c:pt>
                <c:pt idx="6">
                  <c:v>0.2</c:v>
                </c:pt>
              </c:numCache>
            </c:numRef>
          </c:val>
        </c:ser>
        <c:dLbls>
          <c:dLblPos val="outEnd"/>
          <c:showLegendKey val="0"/>
          <c:showVal val="1"/>
          <c:showCatName val="0"/>
          <c:showSerName val="0"/>
          <c:showPercent val="0"/>
          <c:showBubbleSize val="0"/>
        </c:dLbls>
        <c:gapWidth val="182"/>
        <c:axId val="374672112"/>
        <c:axId val="374672896"/>
      </c:barChart>
      <c:catAx>
        <c:axId val="3746721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672896"/>
        <c:crosses val="autoZero"/>
        <c:auto val="1"/>
        <c:lblAlgn val="ctr"/>
        <c:lblOffset val="100"/>
        <c:noMultiLvlLbl val="0"/>
      </c:catAx>
      <c:valAx>
        <c:axId val="3746728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4672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0.xml><?xml version="1.0" encoding="utf-8"?>
<a:themeOverride xmlns:a="http://schemas.openxmlformats.org/drawingml/2006/main" name="Office Theme">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objectDefaults/>
  <a:extraClrSchemeLst/>
  <a:extLst>
    <a:ext uri="{05A4C25C-085E-4340-85A3-A5531E510DB2}">
      <thm15:themeFamily xmlns:thm15="http://schemas.microsoft.com/office/thememl/2012/main" name="Office Theme" id="{62F939B6-93AF-4DB8-9C6B-D6C7DFDC589F}" vid="{4A3C46E8-61CC-4603-A589-7422A47A8E4A}"/>
    </a:ext>
  </a:extLst>
</a:themeOverrid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4CDC9-0483-4FA4-A631-81D210618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12997</Words>
  <Pages>1</Pages>
  <Characters>71621</Characters>
  <Application>WPS Office</Application>
  <DocSecurity>0</DocSecurity>
  <Paragraphs>507</Paragraphs>
  <ScaleCrop>false</ScaleCrop>
  <LinksUpToDate>false</LinksUpToDate>
  <CharactersWithSpaces>84628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2023-02-07T10:41:06Z</dcterms:created>
  <dc:creator>EMIE LUNGU</dc:creator>
  <lastModifiedBy>SM-T505</lastModifiedBy>
  <dcterms:modified xsi:type="dcterms:W3CDTF">2023-02-07T11:18:27Z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444e00673ea5f04d2cde1e5cce127b194bd8d0928ddbf525b8dd49022a026229</vt:lpwstr>
  </property>
  <property fmtid="{D5CDD505-2E9C-101B-9397-08002B2CF9AE}" pid="3" name="ICV">
    <vt:lpwstr>8dd390ed2f3c4e7db1126e936cc1b0f6</vt:lpwstr>
  </property>
</Properties>
</file>