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6E2D" w14:textId="16033414" w:rsidR="00771F16" w:rsidRPr="00A36F00" w:rsidRDefault="0063547F" w:rsidP="00A36F00">
      <w:pPr>
        <w:pStyle w:val="Title"/>
      </w:pPr>
      <w:r w:rsidRPr="00A36F00">
        <w:t>DB Design</w:t>
      </w:r>
      <w:r w:rsidR="00D57A85">
        <w:t xml:space="preserve"> Standards</w:t>
      </w:r>
      <w:r w:rsidR="00D07D0C">
        <w:t xml:space="preserve"> (Version 2020.1)</w:t>
      </w:r>
      <w:bookmarkStart w:id="0" w:name="_GoBack"/>
      <w:bookmarkEnd w:id="0"/>
    </w:p>
    <w:p w14:paraId="4BCC6008" w14:textId="77777777" w:rsidR="00771F16" w:rsidRDefault="0063547F" w:rsidP="00A36F00">
      <w:pPr>
        <w:pStyle w:val="Heading1"/>
      </w:pPr>
      <w:r>
        <w:t>Architectural Guide lines</w:t>
      </w:r>
    </w:p>
    <w:p w14:paraId="7A8CE8C5" w14:textId="77777777" w:rsidR="003A66B1" w:rsidRDefault="003A66B1" w:rsidP="003A66B1">
      <w:r>
        <w:t>This document provides details about the data structure on the Dhansol databases.</w:t>
      </w:r>
    </w:p>
    <w:p w14:paraId="0ACAD3EB" w14:textId="77777777" w:rsidR="003A66B1" w:rsidRPr="003A66B1" w:rsidRDefault="003A66B1" w:rsidP="003A66B1"/>
    <w:p w14:paraId="223085B6" w14:textId="77777777" w:rsidR="0063547F" w:rsidRDefault="0063547F" w:rsidP="0063547F"/>
    <w:p w14:paraId="3A865875" w14:textId="77777777" w:rsidR="0063547F" w:rsidRPr="00222619" w:rsidRDefault="0063547F" w:rsidP="00222619">
      <w:pPr>
        <w:ind w:left="720"/>
        <w:rPr>
          <w:rStyle w:val="IntenseEmphasis"/>
        </w:rPr>
      </w:pPr>
      <w:r w:rsidRPr="00222619">
        <w:rPr>
          <w:rStyle w:val="IntenseEmphasis"/>
        </w:rPr>
        <w:t xml:space="preserve">System </w:t>
      </w:r>
    </w:p>
    <w:p w14:paraId="4EFC42F7" w14:textId="77777777" w:rsidR="0063547F" w:rsidRPr="00222619" w:rsidRDefault="0063547F" w:rsidP="00222619">
      <w:pPr>
        <w:ind w:left="720"/>
        <w:rPr>
          <w:rStyle w:val="IntenseEmphasis"/>
        </w:rPr>
      </w:pPr>
      <w:r w:rsidRPr="00222619">
        <w:rPr>
          <w:rStyle w:val="IntenseEmphasis"/>
        </w:rPr>
        <w:t xml:space="preserve">User </w:t>
      </w:r>
    </w:p>
    <w:p w14:paraId="3EA1DBFE" w14:textId="77777777" w:rsidR="0063547F" w:rsidRPr="00222619" w:rsidRDefault="0063547F" w:rsidP="00222619">
      <w:pPr>
        <w:ind w:left="720"/>
        <w:rPr>
          <w:rStyle w:val="IntenseEmphasis"/>
        </w:rPr>
      </w:pPr>
      <w:r w:rsidRPr="00222619">
        <w:rPr>
          <w:rStyle w:val="IntenseEmphasis"/>
        </w:rPr>
        <w:t>Functional</w:t>
      </w:r>
    </w:p>
    <w:p w14:paraId="62816614" w14:textId="77777777" w:rsidR="000A0F9B" w:rsidRDefault="000A0F9B" w:rsidP="0063547F"/>
    <w:p w14:paraId="1936000F" w14:textId="77777777" w:rsidR="0063547F" w:rsidRDefault="0063547F" w:rsidP="00222619">
      <w:pPr>
        <w:pStyle w:val="Heading1"/>
      </w:pPr>
      <w:r>
        <w:t>Naming Convention</w:t>
      </w:r>
    </w:p>
    <w:p w14:paraId="47ACFD6A" w14:textId="77777777" w:rsidR="0063547F" w:rsidRDefault="0063547F" w:rsidP="0063547F">
      <w:r>
        <w:t>The first two bytes will indicate the object type.</w:t>
      </w:r>
    </w:p>
    <w:p w14:paraId="5282ADAA" w14:textId="77777777" w:rsidR="0063547F" w:rsidRDefault="0063547F" w:rsidP="0063547F">
      <w:pPr>
        <w:pStyle w:val="ListParagraph"/>
        <w:numPr>
          <w:ilvl w:val="0"/>
          <w:numId w:val="27"/>
        </w:numPr>
      </w:pPr>
      <w:r>
        <w:t>All the Database tables</w:t>
      </w:r>
      <w:r w:rsidR="00993B24">
        <w:t xml:space="preserve"> will begin with a prefix of “t</w:t>
      </w:r>
      <w:r>
        <w:t>”. with the lower-case.</w:t>
      </w:r>
    </w:p>
    <w:p w14:paraId="7A4D2AA5" w14:textId="77777777" w:rsidR="0063547F" w:rsidRDefault="0063547F" w:rsidP="0063547F">
      <w:pPr>
        <w:pStyle w:val="ListParagraph"/>
        <w:numPr>
          <w:ilvl w:val="0"/>
          <w:numId w:val="27"/>
        </w:numPr>
      </w:pPr>
      <w:r>
        <w:t>All the database views will begin with a prefix of “v”. with lower case.</w:t>
      </w:r>
    </w:p>
    <w:p w14:paraId="7D69FE9D" w14:textId="77777777" w:rsidR="0063547F" w:rsidRDefault="0063547F" w:rsidP="0063547F">
      <w:pPr>
        <w:pStyle w:val="ListParagraph"/>
        <w:numPr>
          <w:ilvl w:val="0"/>
          <w:numId w:val="27"/>
        </w:numPr>
      </w:pPr>
      <w:r>
        <w:t>All the database stored procedures will begin with a prefix of “s” with lower case.</w:t>
      </w:r>
    </w:p>
    <w:p w14:paraId="6659C4D8" w14:textId="77777777" w:rsidR="0063547F" w:rsidRDefault="0063547F" w:rsidP="0063547F">
      <w:pPr>
        <w:pStyle w:val="ListParagraph"/>
        <w:numPr>
          <w:ilvl w:val="0"/>
          <w:numId w:val="27"/>
        </w:numPr>
      </w:pPr>
      <w:r>
        <w:t>All the database materialized views will begin with a prefix of “m” with lower case.</w:t>
      </w:r>
    </w:p>
    <w:p w14:paraId="1CE17D65" w14:textId="77777777" w:rsidR="009B02F6" w:rsidRDefault="009B02F6" w:rsidP="0063547F">
      <w:pPr>
        <w:pStyle w:val="ListParagraph"/>
        <w:numPr>
          <w:ilvl w:val="0"/>
          <w:numId w:val="27"/>
        </w:numPr>
      </w:pPr>
      <w:r>
        <w:t>All the queries will begin with a prefix of “q” with lower case.</w:t>
      </w:r>
    </w:p>
    <w:p w14:paraId="007038FA" w14:textId="77777777" w:rsidR="0063547F" w:rsidRDefault="0063547F" w:rsidP="0063547F">
      <w:pPr>
        <w:pStyle w:val="ListParagraph"/>
        <w:numPr>
          <w:ilvl w:val="0"/>
          <w:numId w:val="27"/>
        </w:numPr>
      </w:pPr>
      <w:r>
        <w:t xml:space="preserve">The </w:t>
      </w:r>
      <w:r w:rsidR="00D7532F">
        <w:t>second</w:t>
      </w:r>
      <w:r>
        <w:t xml:space="preserve"> byte will indicate the whether it is a system, user or functional table. It will carry ‘s’ for system, ‘u’ for the User specific tables and ‘f’ for the functional specific database objects.</w:t>
      </w:r>
    </w:p>
    <w:p w14:paraId="6C467F5F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‘s’ – System</w:t>
      </w:r>
    </w:p>
    <w:p w14:paraId="67915453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 xml:space="preserve">‘u’ – User </w:t>
      </w:r>
    </w:p>
    <w:p w14:paraId="4D5CE06C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‘f’ – Functional</w:t>
      </w:r>
    </w:p>
    <w:p w14:paraId="7AB1EC30" w14:textId="72B34371" w:rsidR="00FC0FFA" w:rsidRDefault="00FC0FFA" w:rsidP="00FC0FFA">
      <w:pPr>
        <w:pStyle w:val="ListParagraph"/>
        <w:numPr>
          <w:ilvl w:val="0"/>
          <w:numId w:val="27"/>
        </w:numPr>
      </w:pPr>
      <w:r>
        <w:t>Each of the naming prefix will be separated by “_” except for the second byte where db object’s purpose domain type is specified which are System, User and Functional specified.</w:t>
      </w:r>
    </w:p>
    <w:p w14:paraId="35F29068" w14:textId="77777777" w:rsidR="00D7532F" w:rsidRDefault="00D7532F" w:rsidP="0063547F">
      <w:pPr>
        <w:pStyle w:val="ListParagraph"/>
        <w:numPr>
          <w:ilvl w:val="0"/>
          <w:numId w:val="27"/>
        </w:numPr>
      </w:pPr>
      <w:r>
        <w:t>4</w:t>
      </w:r>
      <w:r w:rsidRPr="00D7532F">
        <w:rPr>
          <w:vertAlign w:val="superscript"/>
        </w:rPr>
        <w:t>th</w:t>
      </w:r>
      <w:r>
        <w:t xml:space="preserve"> Byte will indicate whether the object belongs to Application or Module. </w:t>
      </w:r>
    </w:p>
    <w:p w14:paraId="359AC384" w14:textId="3C9BF24C" w:rsidR="00D7532F" w:rsidRDefault="00D7532F" w:rsidP="00D7532F">
      <w:pPr>
        <w:pStyle w:val="ListParagraph"/>
        <w:numPr>
          <w:ilvl w:val="1"/>
          <w:numId w:val="27"/>
        </w:numPr>
      </w:pPr>
      <w:r>
        <w:t xml:space="preserve">A – </w:t>
      </w:r>
      <w:r w:rsidR="008008E7">
        <w:t>Core A</w:t>
      </w:r>
      <w:r>
        <w:t xml:space="preserve">pplication </w:t>
      </w:r>
      <w:r w:rsidR="008008E7">
        <w:t>Data (Functional)</w:t>
      </w:r>
    </w:p>
    <w:p w14:paraId="0D4B81B6" w14:textId="681EB165" w:rsidR="00D7532F" w:rsidRDefault="00D7532F" w:rsidP="00D7532F">
      <w:pPr>
        <w:pStyle w:val="ListParagraph"/>
        <w:numPr>
          <w:ilvl w:val="1"/>
          <w:numId w:val="27"/>
        </w:numPr>
      </w:pPr>
      <w:r>
        <w:t>M – Module</w:t>
      </w:r>
      <w:r w:rsidR="00D00D89">
        <w:t xml:space="preserve"> (Calendar, Email, </w:t>
      </w:r>
      <w:r w:rsidR="008C15A9">
        <w:t xml:space="preserve">Provider, Practitioner </w:t>
      </w:r>
      <w:r w:rsidR="00D00D89">
        <w:t>etc</w:t>
      </w:r>
      <w:r w:rsidR="008C15A9">
        <w:t>.</w:t>
      </w:r>
      <w:r w:rsidR="00D00D89">
        <w:t>)</w:t>
      </w:r>
      <w:r w:rsidR="008008E7">
        <w:t xml:space="preserve"> – Independent Modules that can be added and subtracted.</w:t>
      </w:r>
    </w:p>
    <w:p w14:paraId="7C8855BE" w14:textId="025B6507" w:rsidR="008008E7" w:rsidRDefault="008008E7" w:rsidP="00D7532F">
      <w:pPr>
        <w:pStyle w:val="ListParagraph"/>
        <w:numPr>
          <w:ilvl w:val="1"/>
          <w:numId w:val="27"/>
        </w:numPr>
      </w:pPr>
      <w:r>
        <w:t>C – Custom set of tables specific for implementations.</w:t>
      </w:r>
    </w:p>
    <w:p w14:paraId="24BBE608" w14:textId="77777777" w:rsidR="00D7532F" w:rsidRDefault="00D7532F" w:rsidP="00D7532F">
      <w:pPr>
        <w:pStyle w:val="ListParagraph"/>
        <w:numPr>
          <w:ilvl w:val="0"/>
          <w:numId w:val="27"/>
        </w:numPr>
      </w:pPr>
      <w:r>
        <w:t>5</w:t>
      </w:r>
      <w:r w:rsidRPr="00D7532F">
        <w:rPr>
          <w:vertAlign w:val="superscript"/>
        </w:rPr>
        <w:t>th</w:t>
      </w:r>
      <w:r>
        <w:t xml:space="preserve"> byte will indicate whether the object is </w:t>
      </w:r>
      <w:proofErr w:type="gramStart"/>
      <w:r>
        <w:t>a</w:t>
      </w:r>
      <w:proofErr w:type="gramEnd"/>
      <w:r>
        <w:t xml:space="preserve"> </w:t>
      </w:r>
      <w:r w:rsidR="008C15A9">
        <w:t>Application System, Application C</w:t>
      </w:r>
      <w:r>
        <w:t xml:space="preserve">ontent table or </w:t>
      </w:r>
      <w:r w:rsidR="008C15A9">
        <w:t>Application R</w:t>
      </w:r>
      <w:r>
        <w:t>eference table.</w:t>
      </w:r>
    </w:p>
    <w:p w14:paraId="57747C40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“_AC_” – Application Content</w:t>
      </w:r>
    </w:p>
    <w:p w14:paraId="2ACF77B2" w14:textId="77777777" w:rsidR="001D717D" w:rsidRDefault="001D717D" w:rsidP="00D7532F">
      <w:pPr>
        <w:pStyle w:val="ListParagraph"/>
        <w:numPr>
          <w:ilvl w:val="1"/>
          <w:numId w:val="27"/>
        </w:numPr>
      </w:pPr>
      <w:r>
        <w:t xml:space="preserve">“_AS_” – Application Internal System </w:t>
      </w:r>
    </w:p>
    <w:p w14:paraId="742FB656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“_MC_” - Module Content</w:t>
      </w:r>
    </w:p>
    <w:p w14:paraId="6572F6CD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“_AR_” – Application Reference</w:t>
      </w:r>
    </w:p>
    <w:p w14:paraId="06731687" w14:textId="77777777" w:rsidR="00D7532F" w:rsidRDefault="00D7532F" w:rsidP="00D7532F">
      <w:pPr>
        <w:pStyle w:val="ListParagraph"/>
        <w:numPr>
          <w:ilvl w:val="1"/>
          <w:numId w:val="27"/>
        </w:numPr>
      </w:pPr>
      <w:r>
        <w:t>“_M</w:t>
      </w:r>
      <w:r w:rsidR="009C4C1F">
        <w:t>R</w:t>
      </w:r>
      <w:r>
        <w:t>_” – Module Reference</w:t>
      </w:r>
    </w:p>
    <w:p w14:paraId="0833FCC8" w14:textId="77777777" w:rsidR="0063547F" w:rsidRDefault="00D7532F" w:rsidP="0063547F">
      <w:pPr>
        <w:pStyle w:val="ListParagraph"/>
        <w:numPr>
          <w:ilvl w:val="0"/>
          <w:numId w:val="27"/>
        </w:numPr>
      </w:pPr>
      <w:r>
        <w:t>from the 7</w:t>
      </w:r>
      <w:r w:rsidR="0063547F" w:rsidRPr="00D7532F">
        <w:rPr>
          <w:vertAlign w:val="superscript"/>
        </w:rPr>
        <w:t>th</w:t>
      </w:r>
      <w:r>
        <w:t xml:space="preserve"> byte </w:t>
      </w:r>
      <w:r w:rsidR="009B02F6">
        <w:t>the name w</w:t>
      </w:r>
      <w:r w:rsidR="0063547F">
        <w:t xml:space="preserve">ill </w:t>
      </w:r>
      <w:r>
        <w:t>begin</w:t>
      </w:r>
      <w:r w:rsidR="0063547F">
        <w:t xml:space="preserve"> the </w:t>
      </w:r>
      <w:r>
        <w:t xml:space="preserve">Module name and </w:t>
      </w:r>
      <w:r w:rsidR="0063547F">
        <w:t>data category. The data category will begin with the camel case such as “Provider”. Where data categor</w:t>
      </w:r>
      <w:r w:rsidR="009B02F6">
        <w:t>y is unusually longer</w:t>
      </w:r>
      <w:r w:rsidR="0063547F">
        <w:t>, abbreviation will be used to indicate the data category.</w:t>
      </w:r>
    </w:p>
    <w:p w14:paraId="4D753FED" w14:textId="77777777" w:rsidR="0063547F" w:rsidRDefault="00222619" w:rsidP="00D7532F">
      <w:pPr>
        <w:ind w:firstLine="720"/>
      </w:pPr>
      <w:r>
        <w:t>Ex. “tf</w:t>
      </w:r>
      <w:r w:rsidR="00993B24">
        <w:t>_</w:t>
      </w:r>
      <w:r w:rsidR="00D7532F">
        <w:t>AC_</w:t>
      </w:r>
      <w:r w:rsidR="00993B24">
        <w:t>Prov_</w:t>
      </w:r>
      <w:r>
        <w:t>Contact”</w:t>
      </w:r>
      <w:r w:rsidR="009B02F6">
        <w:t>, “tf</w:t>
      </w:r>
      <w:r w:rsidR="00993B24">
        <w:t>_</w:t>
      </w:r>
      <w:r w:rsidR="00D7532F">
        <w:t>AC_Coll_Coll</w:t>
      </w:r>
      <w:r w:rsidR="009B02F6">
        <w:t>aborations</w:t>
      </w:r>
      <w:r w:rsidR="00CF719B">
        <w:t>”</w:t>
      </w:r>
    </w:p>
    <w:p w14:paraId="26223493" w14:textId="77777777" w:rsidR="00FD10E1" w:rsidRDefault="00FD10E1" w:rsidP="0063547F"/>
    <w:p w14:paraId="0947BE34" w14:textId="77777777" w:rsidR="00AE248E" w:rsidRDefault="00AE248E" w:rsidP="00AE248E">
      <w:pPr>
        <w:pStyle w:val="Heading1"/>
      </w:pPr>
      <w:r>
        <w:t xml:space="preserve">Reference </w:t>
      </w:r>
    </w:p>
    <w:p w14:paraId="2058795B" w14:textId="77777777" w:rsidR="00AE248E" w:rsidRDefault="00AE248E" w:rsidP="00AE248E"/>
    <w:p w14:paraId="7D344ED4" w14:textId="77777777" w:rsidR="00AE248E" w:rsidRDefault="00A74DC6" w:rsidP="00AE248E">
      <w:r>
        <w:t>Module or Application</w:t>
      </w:r>
      <w:r w:rsidR="00AE248E">
        <w:t xml:space="preserve"> </w:t>
      </w:r>
      <w:r w:rsidR="008B1BE6">
        <w:t xml:space="preserve">Content </w:t>
      </w:r>
      <w:r w:rsidR="00AE248E">
        <w:t>Reference will carry “Ref” suffix at the end.</w:t>
      </w:r>
    </w:p>
    <w:p w14:paraId="5AC112C0" w14:textId="77777777" w:rsidR="006E73A1" w:rsidRPr="00AE248E" w:rsidRDefault="006E73A1" w:rsidP="00AE248E">
      <w:r>
        <w:t>Ex. “</w:t>
      </w:r>
      <w:r w:rsidR="00A74DC6" w:rsidRPr="00A74DC6">
        <w:t>tf_MC_FeeSched_TypeRef</w:t>
      </w:r>
      <w:r>
        <w:t>”</w:t>
      </w:r>
    </w:p>
    <w:p w14:paraId="3BF933C8" w14:textId="77777777" w:rsidR="00AE248E" w:rsidRDefault="00AE248E" w:rsidP="0063547F"/>
    <w:p w14:paraId="624445F0" w14:textId="77777777" w:rsidR="00FD10E1" w:rsidRDefault="00FD10E1" w:rsidP="00FD10E1">
      <w:pPr>
        <w:pStyle w:val="Heading1"/>
      </w:pPr>
      <w:r>
        <w:t>Keys &amp; ID Generation</w:t>
      </w:r>
    </w:p>
    <w:p w14:paraId="703BF08F" w14:textId="77777777" w:rsidR="00FD10E1" w:rsidRDefault="00FD10E1" w:rsidP="0063547F"/>
    <w:p w14:paraId="46889F20" w14:textId="77777777" w:rsidR="00FD10E1" w:rsidRDefault="00FD10E1" w:rsidP="0063547F">
      <w:r>
        <w:t xml:space="preserve">Primary Keys </w:t>
      </w:r>
      <w:r w:rsidR="005D0B9B">
        <w:t xml:space="preserve">for the reference and entity tables </w:t>
      </w:r>
      <w:r>
        <w:t xml:space="preserve">will be created by Surrogate keys, which will be a unique sequence created by the database sequence. </w:t>
      </w:r>
      <w:r w:rsidR="005D0B9B">
        <w:t>For the relationship tables reference and entity table keys will be used, except at places where the hierarchy goes beyond more than 4 levels, which case a new Surrogate key will be created for the relationship keys.</w:t>
      </w:r>
    </w:p>
    <w:p w14:paraId="024D6E2A" w14:textId="77777777" w:rsidR="00FD33FF" w:rsidRDefault="00FD33FF" w:rsidP="0063547F">
      <w:r>
        <w:t xml:space="preserve">Each entity and relationship tables will have effective periods. </w:t>
      </w:r>
    </w:p>
    <w:p w14:paraId="6F87E512" w14:textId="77777777" w:rsidR="00FD10E1" w:rsidRDefault="00FD10E1" w:rsidP="0063547F">
      <w:r>
        <w:t xml:space="preserve">Database sequence object will be </w:t>
      </w:r>
      <w:r w:rsidR="005D0B9B">
        <w:t xml:space="preserve">used </w:t>
      </w:r>
      <w:r w:rsidR="00FD33FF">
        <w:t>sequence generator.</w:t>
      </w:r>
    </w:p>
    <w:p w14:paraId="4B6BDD00" w14:textId="77777777" w:rsidR="00AD7C8B" w:rsidRDefault="00AD7C8B" w:rsidP="0063547F">
      <w:r>
        <w:t xml:space="preserve">Primary key will be </w:t>
      </w:r>
      <w:proofErr w:type="gramStart"/>
      <w:r>
        <w:t>a</w:t>
      </w:r>
      <w:proofErr w:type="gramEnd"/>
      <w:r>
        <w:t xml:space="preserve"> 8 byte long numeric data type as such as </w:t>
      </w:r>
      <w:r w:rsidR="008B1BF0">
        <w:t>Double</w:t>
      </w:r>
      <w:r>
        <w:t xml:space="preserve"> to accommodate a longest length.</w:t>
      </w:r>
    </w:p>
    <w:p w14:paraId="040A2457" w14:textId="77777777" w:rsidR="00FD33FF" w:rsidRDefault="00FD33FF" w:rsidP="0063547F"/>
    <w:p w14:paraId="1420E132" w14:textId="77777777" w:rsidR="00FD33FF" w:rsidRDefault="00FD33FF" w:rsidP="00FD33FF">
      <w:pPr>
        <w:pStyle w:val="Heading1"/>
      </w:pPr>
      <w:r>
        <w:t>Transactions</w:t>
      </w:r>
    </w:p>
    <w:p w14:paraId="4C6BE87F" w14:textId="77777777" w:rsidR="00FD33FF" w:rsidRDefault="00FD33FF" w:rsidP="0063547F">
      <w:r>
        <w:t>CRUD operations will use transactions which are controlled at the applications transaction coordinator level.</w:t>
      </w:r>
    </w:p>
    <w:p w14:paraId="62C325DA" w14:textId="77777777" w:rsidR="00CB69EF" w:rsidRDefault="00CB69EF" w:rsidP="0063547F"/>
    <w:p w14:paraId="7390149A" w14:textId="77777777" w:rsidR="00FD33FF" w:rsidRDefault="00FD33FF" w:rsidP="0063547F"/>
    <w:p w14:paraId="7973542C" w14:textId="77777777" w:rsidR="00FD33FF" w:rsidRDefault="00FD33FF" w:rsidP="00FD33FF">
      <w:pPr>
        <w:pStyle w:val="Heading1"/>
      </w:pPr>
      <w:r>
        <w:t>History</w:t>
      </w:r>
    </w:p>
    <w:p w14:paraId="5871227B" w14:textId="77777777" w:rsidR="00FD33FF" w:rsidRDefault="00FD33FF" w:rsidP="0063547F">
      <w:r>
        <w:t xml:space="preserve">Each </w:t>
      </w:r>
      <w:r w:rsidR="00CB69EF">
        <w:t xml:space="preserve">reference and entity table can be stored in the history table, with the application level installation setup option. </w:t>
      </w:r>
    </w:p>
    <w:p w14:paraId="0744A453" w14:textId="77777777" w:rsidR="00AD7C8B" w:rsidRDefault="00AD7C8B" w:rsidP="0063547F"/>
    <w:p w14:paraId="6F60BD3F" w14:textId="77777777" w:rsidR="00AD7C8B" w:rsidRDefault="00643C54" w:rsidP="00643C54">
      <w:pPr>
        <w:pStyle w:val="Heading1"/>
      </w:pPr>
      <w:r>
        <w:t>User Session cache key</w:t>
      </w:r>
    </w:p>
    <w:p w14:paraId="6D490375" w14:textId="77777777" w:rsidR="00643C54" w:rsidRPr="00643C54" w:rsidRDefault="00643C54" w:rsidP="00643C54"/>
    <w:p w14:paraId="25169D29" w14:textId="78C61646" w:rsidR="00643C54" w:rsidRDefault="00643C54" w:rsidP="0063547F">
      <w:r>
        <w:t>User Session Cache key will be created with a GUID object.</w:t>
      </w:r>
    </w:p>
    <w:p w14:paraId="625180E0" w14:textId="6BC9FE8B" w:rsidR="00D07D0C" w:rsidRDefault="00D07D0C" w:rsidP="0063547F"/>
    <w:p w14:paraId="3F370D49" w14:textId="77777777" w:rsidR="00D07D0C" w:rsidRDefault="00D07D0C" w:rsidP="0063547F"/>
    <w:p w14:paraId="6F97F8E5" w14:textId="77777777" w:rsidR="00F312C2" w:rsidRDefault="00F312C2" w:rsidP="0063547F"/>
    <w:p w14:paraId="34346294" w14:textId="77777777" w:rsidR="00F312C2" w:rsidRDefault="00F312C2" w:rsidP="0063547F"/>
    <w:p w14:paraId="58B68521" w14:textId="77777777" w:rsidR="00AD7C8B" w:rsidRDefault="00AD7C8B" w:rsidP="0063547F"/>
    <w:p w14:paraId="6D1E3A1F" w14:textId="77777777" w:rsidR="00FD10E1" w:rsidRDefault="00F312C2" w:rsidP="00F312C2">
      <w:pPr>
        <w:pStyle w:val="Heading1"/>
      </w:pPr>
      <w:r>
        <w:lastRenderedPageBreak/>
        <w:t>Abbreviations</w:t>
      </w:r>
    </w:p>
    <w:p w14:paraId="3BA8B01F" w14:textId="77777777" w:rsidR="00F312C2" w:rsidRDefault="00F312C2" w:rsidP="0063547F"/>
    <w:p w14:paraId="51796EA7" w14:textId="77777777" w:rsidR="00FD10E1" w:rsidRDefault="00FD10E1" w:rsidP="0063547F"/>
    <w:p w14:paraId="3A96CAE5" w14:textId="77777777" w:rsidR="00FD10E1" w:rsidRDefault="00FD10E1" w:rsidP="0063547F"/>
    <w:p w14:paraId="45F27EF2" w14:textId="77777777" w:rsidR="00CF719B" w:rsidRDefault="00CF719B" w:rsidP="0063547F"/>
    <w:p w14:paraId="02FCD5E5" w14:textId="77777777" w:rsidR="00222619" w:rsidRDefault="00222619" w:rsidP="0063547F"/>
    <w:p w14:paraId="38A66CB6" w14:textId="77777777" w:rsidR="0063547F" w:rsidRDefault="0063547F" w:rsidP="0063547F"/>
    <w:p w14:paraId="63A556A3" w14:textId="77777777" w:rsidR="0063547F" w:rsidRDefault="0063547F" w:rsidP="0063547F">
      <w:pPr>
        <w:ind w:left="360"/>
      </w:pPr>
    </w:p>
    <w:p w14:paraId="58F997DC" w14:textId="77777777" w:rsidR="0063547F" w:rsidRDefault="0063547F" w:rsidP="0063547F">
      <w:pPr>
        <w:ind w:left="360"/>
      </w:pPr>
    </w:p>
    <w:sectPr w:rsidR="0063547F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A047B" w14:textId="77777777" w:rsidR="0063547F" w:rsidRDefault="0063547F">
      <w:pPr>
        <w:spacing w:after="0" w:line="240" w:lineRule="auto"/>
      </w:pPr>
      <w:r>
        <w:separator/>
      </w:r>
    </w:p>
  </w:endnote>
  <w:endnote w:type="continuationSeparator" w:id="0">
    <w:p w14:paraId="03D5F542" w14:textId="77777777" w:rsidR="0063547F" w:rsidRDefault="0063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017D8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5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3BB4B" w14:textId="77777777" w:rsidR="0063547F" w:rsidRDefault="0063547F">
      <w:pPr>
        <w:spacing w:after="0" w:line="240" w:lineRule="auto"/>
      </w:pPr>
      <w:r>
        <w:separator/>
      </w:r>
    </w:p>
  </w:footnote>
  <w:footnote w:type="continuationSeparator" w:id="0">
    <w:p w14:paraId="115C67C5" w14:textId="77777777" w:rsidR="0063547F" w:rsidRDefault="0063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5C78CA"/>
    <w:multiLevelType w:val="hybridMultilevel"/>
    <w:tmpl w:val="D9785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54A2F"/>
    <w:multiLevelType w:val="hybridMultilevel"/>
    <w:tmpl w:val="4C2A7C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6"/>
  </w:num>
  <w:num w:numId="14">
    <w:abstractNumId w:val="15"/>
  </w:num>
  <w:num w:numId="15">
    <w:abstractNumId w:val="17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47F"/>
    <w:rsid w:val="0005350F"/>
    <w:rsid w:val="000A0F9B"/>
    <w:rsid w:val="00123E1E"/>
    <w:rsid w:val="0013591F"/>
    <w:rsid w:val="001D717D"/>
    <w:rsid w:val="00216BF8"/>
    <w:rsid w:val="00222619"/>
    <w:rsid w:val="0024640E"/>
    <w:rsid w:val="002B637F"/>
    <w:rsid w:val="002C1B16"/>
    <w:rsid w:val="003A66B1"/>
    <w:rsid w:val="003C760A"/>
    <w:rsid w:val="00454ABA"/>
    <w:rsid w:val="005D0B9B"/>
    <w:rsid w:val="0063547F"/>
    <w:rsid w:val="00643C54"/>
    <w:rsid w:val="006E73A1"/>
    <w:rsid w:val="00771F16"/>
    <w:rsid w:val="0078294C"/>
    <w:rsid w:val="007A153E"/>
    <w:rsid w:val="008008E7"/>
    <w:rsid w:val="008B1BE6"/>
    <w:rsid w:val="008B1BF0"/>
    <w:rsid w:val="008B6008"/>
    <w:rsid w:val="008C15A9"/>
    <w:rsid w:val="00971DEC"/>
    <w:rsid w:val="00993B24"/>
    <w:rsid w:val="009B02F6"/>
    <w:rsid w:val="009C4C1F"/>
    <w:rsid w:val="00A04514"/>
    <w:rsid w:val="00A36F00"/>
    <w:rsid w:val="00A74DC6"/>
    <w:rsid w:val="00AD7C8B"/>
    <w:rsid w:val="00AE248E"/>
    <w:rsid w:val="00B64B70"/>
    <w:rsid w:val="00B66857"/>
    <w:rsid w:val="00BA3B94"/>
    <w:rsid w:val="00C07BE9"/>
    <w:rsid w:val="00CB69EF"/>
    <w:rsid w:val="00CF719B"/>
    <w:rsid w:val="00D00D89"/>
    <w:rsid w:val="00D07D0C"/>
    <w:rsid w:val="00D57A85"/>
    <w:rsid w:val="00D7532F"/>
    <w:rsid w:val="00E32A1C"/>
    <w:rsid w:val="00ED622F"/>
    <w:rsid w:val="00F312C2"/>
    <w:rsid w:val="00F9577D"/>
    <w:rsid w:val="00FC0FFA"/>
    <w:rsid w:val="00FD10E1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25FA40"/>
  <w15:chartTrackingRefBased/>
  <w15:docId w15:val="{FF33E186-74F2-4F9B-A983-64C4E57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0E1"/>
  </w:style>
  <w:style w:type="paragraph" w:styleId="Heading1">
    <w:name w:val="heading 1"/>
    <w:basedOn w:val="Normal"/>
    <w:next w:val="Normal"/>
    <w:link w:val="Heading1Char"/>
    <w:uiPriority w:val="9"/>
    <w:qFormat/>
    <w:rsid w:val="00FD10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0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0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0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0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0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0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0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0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E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0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0E1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0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0E1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0E1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0E1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0E1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0E1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10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0E1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0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0E1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D10E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0E1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0E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D10E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0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0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6354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0E1"/>
    <w:rPr>
      <w:b/>
      <w:bCs/>
    </w:rPr>
  </w:style>
  <w:style w:type="character" w:styleId="Emphasis">
    <w:name w:val="Emphasis"/>
    <w:basedOn w:val="DefaultParagraphFont"/>
    <w:uiPriority w:val="20"/>
    <w:qFormat/>
    <w:rsid w:val="00FD10E1"/>
    <w:rPr>
      <w:i/>
      <w:iCs/>
    </w:rPr>
  </w:style>
  <w:style w:type="paragraph" w:styleId="NoSpacing">
    <w:name w:val="No Spacing"/>
    <w:uiPriority w:val="1"/>
    <w:qFormat/>
    <w:rsid w:val="00FD10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0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0E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D10E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10E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D10E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ola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249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msolai</dc:creator>
  <cp:keywords/>
  <dc:description/>
  <cp:lastModifiedBy>Manivannan Solairaj</cp:lastModifiedBy>
  <cp:revision>33</cp:revision>
  <cp:lastPrinted>2017-03-06T23:24:00Z</cp:lastPrinted>
  <dcterms:created xsi:type="dcterms:W3CDTF">2016-12-19T01:08:00Z</dcterms:created>
  <dcterms:modified xsi:type="dcterms:W3CDTF">2020-04-01T16:13:00Z</dcterms:modified>
</cp:coreProperties>
</file>