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C1B" w:rsidRDefault="00B06B79" w:rsidP="00EF3F77">
      <w:pPr>
        <w:jc w:val="center"/>
      </w:pPr>
      <w:r>
        <w:rPr>
          <w:sz w:val="48"/>
        </w:rPr>
        <w:t>Attachment 2</w:t>
      </w:r>
      <w:r w:rsidR="00301FA2">
        <w:rPr>
          <w:sz w:val="48"/>
        </w:rPr>
        <w:br/>
      </w:r>
      <w:r w:rsidR="00EF3F77">
        <w:rPr>
          <w:sz w:val="48"/>
        </w:rPr>
        <w:t>F</w:t>
      </w:r>
      <w:r w:rsidR="00D50999">
        <w:rPr>
          <w:sz w:val="48"/>
        </w:rPr>
        <w:t>TW-336A Budget Analysis (Dec. 08</w:t>
      </w:r>
      <w:r w:rsidR="00EF3F77">
        <w:rPr>
          <w:sz w:val="48"/>
        </w:rPr>
        <w:t>, 2010)</w:t>
      </w:r>
      <w:r w:rsidR="00EF3F77">
        <w:br/>
      </w:r>
      <w:r w:rsidR="00D50999">
        <w:rPr>
          <w:noProof/>
        </w:rPr>
        <w:drawing>
          <wp:inline distT="0" distB="0" distL="0" distR="0">
            <wp:extent cx="6942189" cy="4331580"/>
            <wp:effectExtent l="19050" t="0" r="11061" b="0"/>
            <wp:docPr id="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D50999">
        <w:rPr>
          <w:noProof/>
        </w:rPr>
        <w:drawing>
          <wp:inline distT="0" distB="0" distL="0" distR="0">
            <wp:extent cx="3904021" cy="4336026"/>
            <wp:effectExtent l="19050" t="0" r="20279" b="7374"/>
            <wp:docPr id="5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D50999">
        <w:br/>
      </w:r>
      <w:r w:rsidR="00D50999">
        <w:rPr>
          <w:noProof/>
        </w:rPr>
        <w:drawing>
          <wp:inline distT="0" distB="0" distL="0" distR="0">
            <wp:extent cx="6268064" cy="2743200"/>
            <wp:effectExtent l="19050" t="0" r="18436" b="0"/>
            <wp:docPr id="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3C4C1B" w:rsidSect="00EF3F77">
      <w:pgSz w:w="24480" w:h="15840" w:orient="landscape" w:code="1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F3F77"/>
    <w:rsid w:val="00042F65"/>
    <w:rsid w:val="00301FA2"/>
    <w:rsid w:val="0039697F"/>
    <w:rsid w:val="003C4C1B"/>
    <w:rsid w:val="00B06B79"/>
    <w:rsid w:val="00D50999"/>
    <w:rsid w:val="00D86455"/>
    <w:rsid w:val="00E95A3C"/>
    <w:rsid w:val="00EF3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C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F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u-core\wsplain$\Projects\FTW-336A_Aircraft_Storage\Contracts_and_Submittals\Budget_Check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\\du-core\wsplain$\Projects\FTW-336A_Aircraft_Storage\Contracts_and_Submittals\Budget_Check.xls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\\du-core\wsplain$\Projects\FTW-336A_Aircraft_Storage\Contracts_and_Submittals\Budget_Check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Project Spend to Date (HDS, WDS, &amp; WWC)</a:t>
            </a:r>
          </a:p>
        </c:rich>
      </c:tx>
      <c:layout/>
    </c:title>
    <c:plotArea>
      <c:layout>
        <c:manualLayout>
          <c:layoutTarget val="inner"/>
          <c:xMode val="edge"/>
          <c:yMode val="edge"/>
          <c:x val="0.10140255160994437"/>
          <c:y val="0.18603858176462174"/>
          <c:w val="0.43176323779142284"/>
          <c:h val="0.69198352564191357"/>
        </c:manualLayout>
      </c:layout>
      <c:pieChart>
        <c:varyColors val="1"/>
        <c:ser>
          <c:idx val="0"/>
          <c:order val="0"/>
          <c:tx>
            <c:strRef>
              <c:f>Sheet1!$E$19</c:f>
              <c:strCache>
                <c:ptCount val="1"/>
                <c:pt idx="0">
                  <c:v>Project Spend to Date (excluding EDS)</c:v>
                </c:pt>
              </c:strCache>
            </c:strRef>
          </c:tx>
          <c:dPt>
            <c:idx val="12"/>
            <c:explosion val="1"/>
          </c:dPt>
          <c:dLbls>
            <c:dLbl>
              <c:idx val="2"/>
              <c:layout>
                <c:manualLayout>
                  <c:x val="4.010694609438032E-2"/>
                  <c:y val="2.6852788128119538E-2"/>
                </c:manualLayout>
              </c:layout>
              <c:showVal val="1"/>
              <c:showCatName val="1"/>
              <c:showPercent val="1"/>
              <c:separator>
</c:separator>
            </c:dLbl>
            <c:dLbl>
              <c:idx val="3"/>
              <c:layout>
                <c:manualLayout>
                  <c:x val="0.29017072280803646"/>
                  <c:y val="-9.6943609491224894E-2"/>
                </c:manualLayout>
              </c:layout>
              <c:showVal val="1"/>
              <c:showCatName val="1"/>
              <c:showPercent val="1"/>
              <c:separator>
</c:separator>
            </c:dLbl>
            <c:dLbl>
              <c:idx val="4"/>
              <c:layout>
                <c:manualLayout>
                  <c:x val="0.20493589209064464"/>
                  <c:y val="-2.5317916341538387E-2"/>
                </c:manualLayout>
              </c:layout>
              <c:showVal val="1"/>
              <c:showCatName val="1"/>
              <c:showPercent val="1"/>
              <c:separator>
</c:separator>
            </c:dLbl>
            <c:dLbl>
              <c:idx val="7"/>
              <c:layout>
                <c:manualLayout>
                  <c:x val="0.27727431196667768"/>
                  <c:y val="3.0779125582275239E-2"/>
                </c:manualLayout>
              </c:layout>
              <c:showVal val="1"/>
              <c:showCatName val="1"/>
              <c:showPercent val="1"/>
              <c:separator>
</c:separator>
            </c:dLbl>
            <c:dLbl>
              <c:idx val="9"/>
              <c:layout>
                <c:manualLayout>
                  <c:x val="0.30461013099535056"/>
                  <c:y val="-2.4333309687640432E-2"/>
                </c:manualLayout>
              </c:layout>
              <c:showVal val="1"/>
              <c:showCatName val="1"/>
              <c:showPercent val="1"/>
              <c:separator>
</c:separator>
            </c:dLbl>
            <c:dLbl>
              <c:idx val="10"/>
              <c:layout>
                <c:manualLayout>
                  <c:x val="0.11420944167153098"/>
                  <c:y val="8.5574945023764087E-2"/>
                </c:manualLayout>
              </c:layout>
              <c:showVal val="1"/>
              <c:showCatName val="1"/>
              <c:showPercent val="1"/>
              <c:separator>
</c:separator>
            </c:dLbl>
            <c:dLbl>
              <c:idx val="12"/>
              <c:layout>
                <c:manualLayout>
                  <c:x val="0.16297528996469995"/>
                  <c:y val="-3.0775578728334665E-2"/>
                </c:manualLayout>
              </c:layout>
              <c:spPr/>
              <c:txPr>
                <a:bodyPr/>
                <a:lstStyle/>
                <a:p>
                  <a:pPr>
                    <a:defRPr sz="1400"/>
                  </a:pPr>
                  <a:endParaRPr lang="en-US"/>
                </a:p>
              </c:txPr>
              <c:showVal val="1"/>
              <c:showCatName val="1"/>
              <c:showPercent val="1"/>
              <c:separator>
</c:separator>
            </c:dLbl>
            <c:showVal val="1"/>
            <c:showCatName val="1"/>
            <c:showPercent val="1"/>
            <c:separator>
</c:separator>
            <c:showLeaderLines val="1"/>
          </c:dLbls>
          <c:cat>
            <c:strRef>
              <c:f>Sheet1!$E$21:$E$33</c:f>
              <c:strCache>
                <c:ptCount val="13"/>
                <c:pt idx="0">
                  <c:v>DU LABOR</c:v>
                </c:pt>
                <c:pt idx="1">
                  <c:v>Metering</c:v>
                </c:pt>
                <c:pt idx="2">
                  <c:v>Insulation</c:v>
                </c:pt>
                <c:pt idx="3">
                  <c:v>Environmental Lab</c:v>
                </c:pt>
                <c:pt idx="4">
                  <c:v>Pipe/Supplies</c:v>
                </c:pt>
                <c:pt idx="5">
                  <c:v>Quality Assurance</c:v>
                </c:pt>
                <c:pt idx="6">
                  <c:v>SCADA</c:v>
                </c:pt>
                <c:pt idx="7">
                  <c:v>Design</c:v>
                </c:pt>
                <c:pt idx="8">
                  <c:v>Pipe</c:v>
                </c:pt>
                <c:pt idx="9">
                  <c:v>MAYNARD REECE</c:v>
                </c:pt>
                <c:pt idx="10">
                  <c:v>SCADA Prgm</c:v>
                </c:pt>
                <c:pt idx="11">
                  <c:v>PANELS</c:v>
                </c:pt>
                <c:pt idx="12">
                  <c:v>Construction</c:v>
                </c:pt>
              </c:strCache>
            </c:strRef>
          </c:cat>
          <c:val>
            <c:numRef>
              <c:f>Sheet1!$F$21:$F$33</c:f>
              <c:numCache>
                <c:formatCode>_("$"* #,##0.00_);_("$"* \(#,##0.00\);_("$"* "-"??_);_(@_)</c:formatCode>
                <c:ptCount val="13"/>
                <c:pt idx="0">
                  <c:v>16997.649999999991</c:v>
                </c:pt>
                <c:pt idx="1">
                  <c:v>937.31999999999971</c:v>
                </c:pt>
                <c:pt idx="2">
                  <c:v>5966.25</c:v>
                </c:pt>
                <c:pt idx="3">
                  <c:v>2250</c:v>
                </c:pt>
                <c:pt idx="4">
                  <c:v>53694.240000000005</c:v>
                </c:pt>
                <c:pt idx="5">
                  <c:v>4144.3100000000004</c:v>
                </c:pt>
                <c:pt idx="6">
                  <c:v>6258.1900000000014</c:v>
                </c:pt>
                <c:pt idx="7">
                  <c:v>60868</c:v>
                </c:pt>
                <c:pt idx="8">
                  <c:v>24425</c:v>
                </c:pt>
                <c:pt idx="9">
                  <c:v>5525</c:v>
                </c:pt>
                <c:pt idx="10">
                  <c:v>3231.75</c:v>
                </c:pt>
                <c:pt idx="11">
                  <c:v>9167</c:v>
                </c:pt>
                <c:pt idx="12">
                  <c:v>698294.45000000019</c:v>
                </c:pt>
              </c:numCache>
            </c:numRef>
          </c:val>
        </c:ser>
        <c:firstSliceAng val="50"/>
      </c:pieChart>
    </c:plotArea>
    <c:plotVisOnly val="1"/>
  </c:chart>
  <c:txPr>
    <a:bodyPr/>
    <a:lstStyle/>
    <a:p>
      <a:pPr>
        <a:defRPr sz="1200"/>
      </a:pPr>
      <a:endParaRPr lang="en-US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% by Utility</a:t>
            </a:r>
          </a:p>
        </c:rich>
      </c:tx>
      <c:layout/>
    </c:title>
    <c:plotArea>
      <c:layout/>
      <c:pieChart>
        <c:varyColors val="1"/>
        <c:ser>
          <c:idx val="0"/>
          <c:order val="0"/>
          <c:tx>
            <c:v>Percent Budget</c:v>
          </c:tx>
          <c:dLbls>
            <c:dLbl>
              <c:idx val="0"/>
              <c:layout>
                <c:manualLayout>
                  <c:x val="-0.13942572445210141"/>
                  <c:y val="0.18699117155810097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EDS </a:t>
                    </a:r>
                    <a:br>
                      <a:rPr lang="en-US"/>
                    </a:br>
                    <a:r>
                      <a:rPr lang="en-US"/>
                      <a:t>$145,000.00 
14%</a:t>
                    </a:r>
                  </a:p>
                </c:rich>
              </c:tx>
              <c:showVal val="1"/>
              <c:showPercent val="1"/>
              <c:separator>
</c:separator>
            </c:dLbl>
            <c:dLbl>
              <c:idx val="1"/>
              <c:layout>
                <c:manualLayout>
                  <c:x val="-0.1617734017706047"/>
                  <c:y val="-0.23230531590249801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HDS </a:t>
                    </a:r>
                    <a:br>
                      <a:rPr lang="en-US"/>
                    </a:br>
                    <a:r>
                      <a:rPr lang="en-US"/>
                      <a:t>$525,869.33 
51%</a:t>
                    </a:r>
                  </a:p>
                </c:rich>
              </c:tx>
              <c:showVal val="1"/>
              <c:showPercent val="1"/>
              <c:separator>
</c:separator>
            </c:dLbl>
            <c:dLbl>
              <c:idx val="2"/>
              <c:layout>
                <c:manualLayout>
                  <c:x val="0.18529987925576799"/>
                  <c:y val="1.6606512702658581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WDS</a:t>
                    </a:r>
                    <a:br>
                      <a:rPr lang="en-US"/>
                    </a:br>
                    <a:r>
                      <a:rPr lang="en-US"/>
                      <a:t>$258,397.31 
25%</a:t>
                    </a:r>
                  </a:p>
                </c:rich>
              </c:tx>
              <c:showVal val="1"/>
              <c:showPercent val="1"/>
              <c:separator>
</c:separator>
            </c:dLbl>
            <c:dLbl>
              <c:idx val="3"/>
              <c:layout/>
              <c:tx>
                <c:rich>
                  <a:bodyPr/>
                  <a:lstStyle/>
                  <a:p>
                    <a:r>
                      <a:rPr lang="en-US"/>
                      <a:t>WWC </a:t>
                    </a:r>
                    <a:br>
                      <a:rPr lang="en-US"/>
                    </a:br>
                    <a:r>
                      <a:rPr lang="en-US"/>
                      <a:t>$107,492.52 
10%</a:t>
                    </a:r>
                  </a:p>
                </c:rich>
              </c:tx>
              <c:showVal val="1"/>
              <c:showPercent val="1"/>
              <c:separator>
</c:separator>
            </c:dLbl>
            <c:showVal val="1"/>
            <c:showPercent val="1"/>
            <c:separator>
</c:separator>
            <c:showLeaderLines val="1"/>
          </c:dLbls>
          <c:val>
            <c:numRef>
              <c:f>(Sheet1!$C$18,Sheet1!$F$17,Sheet1!$J$17,Sheet1!$N$17)</c:f>
              <c:numCache>
                <c:formatCode>_("$"* #,##0.00_);_("$"* \(#,##0.00\);_("$"* "-"??_);_(@_)</c:formatCode>
                <c:ptCount val="4"/>
                <c:pt idx="0">
                  <c:v>145000</c:v>
                </c:pt>
                <c:pt idx="1">
                  <c:v>525869.32999999996</c:v>
                </c:pt>
                <c:pt idx="2">
                  <c:v>258397.31</c:v>
                </c:pt>
                <c:pt idx="3">
                  <c:v>107492.51999999999</c:v>
                </c:pt>
              </c:numCache>
            </c:numRef>
          </c:val>
        </c:ser>
        <c:firstSliceAng val="0"/>
      </c:pieChart>
    </c:plotArea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Budget Overage (Including</a:t>
            </a:r>
            <a:r>
              <a:rPr lang="en-US" baseline="0"/>
              <a:t> EDS</a:t>
            </a:r>
            <a:r>
              <a:rPr lang="en-US"/>
              <a:t>) %</a:t>
            </a:r>
          </a:p>
        </c:rich>
      </c:tx>
      <c:layout/>
    </c:title>
    <c:plotArea>
      <c:layout/>
      <c:pieChart>
        <c:varyColors val="1"/>
        <c:ser>
          <c:idx val="0"/>
          <c:order val="0"/>
          <c:tx>
            <c:v>Budget Overage %</c:v>
          </c:tx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 sz="1400"/>
                      <a:t>Budget Given
 $1,148,242.00 </a:t>
                    </a:r>
                  </a:p>
                </c:rich>
              </c:tx>
              <c:showVal val="1"/>
              <c:showCatName val="1"/>
              <c:showPercent val="1"/>
              <c:separator>
</c:separator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 sz="1400"/>
                      <a:t>Over Budget
 $44,698.42 
</a:t>
                    </a:r>
                    <a:r>
                      <a:rPr lang="en-US" sz="1400" b="1">
                        <a:solidFill>
                          <a:srgbClr val="C00000"/>
                        </a:solidFill>
                      </a:rPr>
                      <a:t>4%</a:t>
                    </a:r>
                  </a:p>
                </c:rich>
              </c:tx>
              <c:showVal val="1"/>
              <c:showCatName val="1"/>
              <c:showPercent val="1"/>
              <c:separator>
</c:separator>
            </c:dLbl>
            <c:txPr>
              <a:bodyPr/>
              <a:lstStyle/>
              <a:p>
                <a:pPr>
                  <a:defRPr sz="1400"/>
                </a:pPr>
                <a:endParaRPr lang="en-US"/>
              </a:p>
            </c:txPr>
            <c:showVal val="1"/>
            <c:showCatName val="1"/>
            <c:showPercent val="1"/>
            <c:separator>
</c:separator>
            <c:showLeaderLines val="1"/>
          </c:dLbls>
          <c:cat>
            <c:strRef>
              <c:f>Sheet1!$M$20:$M$21</c:f>
              <c:strCache>
                <c:ptCount val="2"/>
                <c:pt idx="0">
                  <c:v>Budget Given</c:v>
                </c:pt>
                <c:pt idx="1">
                  <c:v>Ammount over budget</c:v>
                </c:pt>
              </c:strCache>
            </c:strRef>
          </c:cat>
          <c:val>
            <c:numRef>
              <c:f>Sheet1!$N$20:$N$21</c:f>
              <c:numCache>
                <c:formatCode>_("$"* #,##0.00_);_("$"* \(#,##0.00\);_("$"* "-"??_);_(@_)</c:formatCode>
                <c:ptCount val="2"/>
                <c:pt idx="0">
                  <c:v>1148242</c:v>
                </c:pt>
                <c:pt idx="1">
                  <c:v>44698.419999999947</c:v>
                </c:pt>
              </c:numCache>
            </c:numRef>
          </c:val>
        </c:ser>
        <c:firstSliceAng val="95"/>
      </c:pieChart>
    </c:plotArea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Wily F. Splain</dc:creator>
  <cp:keywords/>
  <dc:description/>
  <cp:lastModifiedBy>Wily F. Splain</cp:lastModifiedBy>
  <cp:revision>5</cp:revision>
  <cp:lastPrinted>2010-12-08T19:06:00Z</cp:lastPrinted>
  <dcterms:created xsi:type="dcterms:W3CDTF">2010-12-08T00:59:00Z</dcterms:created>
  <dcterms:modified xsi:type="dcterms:W3CDTF">2010-12-08T19:40:00Z</dcterms:modified>
</cp:coreProperties>
</file>