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ai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ptos" w:hAnsi="Aptos"/>
          <w:b/>
          <w:color w:val="2563EB"/>
          <w:sz w:val="19"/>
        </w:rPr>
        <w:t>ACADEMIC OPERATING GUIDE</w:t>
      </w:r>
    </w:p>
    <w:p>
      <w:pPr>
        <w:pStyle w:val="Title"/>
        <w:spacing w:after="200"/>
      </w:pPr>
      <w:r>
        <w:t>Role workflows</w:t>
        <w:br/>
        <w:t>and access</w:t>
      </w:r>
    </w:p>
    <w:p>
      <w:pPr>
        <w:pStyle w:val="Subtitle"/>
        <w:spacing w:after="400"/>
      </w:pPr>
      <w:r>
        <w:t>How semester decisions move through campus delivery, faculty planning and the student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shd w:fill="EAF2F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B7A"/>
                <w:sz w:val="24"/>
              </w:rPr>
              <w:t>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20"/>
              </w:rPr>
              <w:t>Global academic setup</w:t>
            </w:r>
          </w:p>
        </w:tc>
        <w:tc>
          <w:tcPr>
            <w:tcW w:type="dxa" w:w="3492"/>
            <w:shd w:fill="E6F8F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B7A"/>
                <w:sz w:val="24"/>
              </w:rPr>
              <w:t>02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20"/>
              </w:rPr>
              <w:t>Campus delivery</w:t>
            </w:r>
          </w:p>
        </w:tc>
        <w:tc>
          <w:tcPr>
            <w:tcW w:type="dxa" w:w="3492"/>
            <w:shd w:fill="FFF4D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B7A"/>
                <w:sz w:val="24"/>
              </w:rPr>
              <w:t>03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20"/>
              </w:rPr>
              <w:t>Teaching execution</w:t>
            </w:r>
          </w:p>
        </w:tc>
        <w:tc>
          <w:tcPr>
            <w:tcW w:type="dxa" w:w="3492"/>
            <w:shd w:fill="F0EAFE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B7A"/>
                <w:sz w:val="24"/>
              </w:rPr>
              <w:t>04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20"/>
              </w:rPr>
              <w:t>Read-only student view</w:t>
            </w:r>
          </w:p>
        </w:tc>
      </w:tr>
    </w:tbl>
    <w:p/>
    <w:p>
      <w:pPr>
        <w:spacing w:before="100" w:after="140"/>
      </w:pPr>
      <w:r>
        <w:rPr>
          <w:rFonts w:ascii="Aptos" w:hAnsi="Aptos"/>
          <w:b/>
          <w:color w:val="111827"/>
          <w:sz w:val="24"/>
        </w:rPr>
        <w:t>Operating principle</w:t>
      </w:r>
    </w:p>
    <w:p>
      <w:pPr>
        <w:spacing w:after="80"/>
      </w:pPr>
      <w:r>
        <w:t>Authority flows downward by role and campus scope. Progress, exceptions and reports flow upward. Every person sees only the campuses, batches and subjects assigned to them.</w:t>
      </w:r>
    </w:p>
    <w:p>
      <w:pPr>
        <w:pStyle w:val="ListBullet"/>
        <w:spacing w:after="40"/>
      </w:pPr>
      <w:r>
        <w:t>Administrator / Program Manager — all campuses</w:t>
      </w:r>
    </w:p>
    <w:p>
      <w:pPr>
        <w:pStyle w:val="ListBullet"/>
        <w:spacing w:after="40"/>
      </w:pPr>
      <w:r>
        <w:t>Campus Manager — assigned campus</w:t>
      </w:r>
    </w:p>
    <w:p>
      <w:pPr>
        <w:pStyle w:val="ListBullet"/>
        <w:spacing w:after="40"/>
      </w:pPr>
      <w:r>
        <w:t>Faculty and Visiting Faculty — assigned subjects and classes</w:t>
      </w:r>
    </w:p>
    <w:p>
      <w:pPr>
        <w:pStyle w:val="ListBullet"/>
        <w:spacing w:after="40"/>
      </w:pPr>
      <w:r>
        <w:t>Student — enrolled campus and batch, read only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563EB"/>
          <w:sz w:val="18"/>
        </w:rPr>
        <w:t>01 · END-TO-END FLOW</w:t>
      </w:r>
    </w:p>
    <w:p>
      <w:pPr>
        <w:pStyle w:val="Heading1"/>
        <w:spacing w:after="120"/>
      </w:pPr>
      <w:r>
        <w:t>From semester setup to the student view</w:t>
      </w:r>
    </w:p>
    <w:p>
      <w:pPr>
        <w:pStyle w:val="Subtitle"/>
        <w:spacing w:after="240"/>
      </w:pPr>
      <w:r>
        <w:t>The platform connects administrative planning, campus scheduling and classroom delivery in one controlled chain.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743787"/>
            <wp:docPr id="2" name="Picture 2" title="End-to-end academic flow" descr="Administrator creates the semester, campus manager builds the timetable, faculty plans and logs teaching, and the student view refresh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diagram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74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Aptos" w:hAnsi="Aptos"/>
          <w:b/>
          <w:color w:val="667085"/>
          <w:sz w:val="18"/>
        </w:rPr>
        <w:t>Figure 1 · End-to-end academic delivery flow</w:t>
      </w:r>
    </w:p>
    <w:p>
      <w:r>
        <w:rPr>
          <w:rFonts w:ascii="Aptos" w:hAnsi="Aptos"/>
          <w:b/>
          <w:color w:val="173B7A"/>
          <w:sz w:val="20"/>
        </w:rPr>
        <w:t xml:space="preserve">What changes downstream: </w:t>
      </w:r>
      <w:r>
        <w:rPr>
          <w:rFonts w:ascii="Aptos" w:hAnsi="Aptos"/>
          <w:color w:val="111827"/>
          <w:sz w:val="20"/>
        </w:rPr>
        <w:t>A calendar or exam-window change recalculates affected classes, planned dates, available teaching hours, progress and exam readiness before it reaches the student view.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563EB"/>
          <w:sz w:val="18"/>
        </w:rPr>
        <w:t>02 · ACCESS HIERARCHY</w:t>
      </w:r>
    </w:p>
    <w:p>
      <w:pPr>
        <w:pStyle w:val="Heading1"/>
        <w:spacing w:after="120"/>
      </w:pPr>
      <w:r>
        <w:t>Authority follows campus and subject scope</w:t>
      </w:r>
    </w:p>
    <w:p>
      <w:pPr>
        <w:pStyle w:val="Subtitle"/>
        <w:spacing w:after="240"/>
      </w:pPr>
      <w:r>
        <w:t>Each role receives the minimum scope needed to complete its part of the academic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3780751"/>
            <wp:docPr id="3" name="Picture 3" title="Role access hierarchy" descr="Administrator assigns campus managers; campus managers assign faculty, visiting faculty and students; reports flow upw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diagram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378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Aptos" w:hAnsi="Aptos"/>
          <w:b/>
          <w:color w:val="667085"/>
          <w:sz w:val="18"/>
        </w:rPr>
        <w:t>Figure 2 · Role hierarchy and reporting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4656"/>
            <w:shd w:fill="EAF2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11827"/>
                <w:sz w:val="22"/>
              </w:rPr>
              <w:t>Global</w:t>
            </w:r>
          </w:p>
        </w:tc>
        <w:tc>
          <w:tcPr>
            <w:tcW w:type="dxa" w:w="4656"/>
            <w:shd w:fill="E6F8F5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11827"/>
                <w:sz w:val="22"/>
              </w:rPr>
              <w:t>Campus</w:t>
            </w:r>
          </w:p>
        </w:tc>
        <w:tc>
          <w:tcPr>
            <w:tcW w:type="dxa" w:w="4656"/>
            <w:shd w:fill="FFF4D6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11827"/>
                <w:sz w:val="22"/>
              </w:rPr>
              <w:t>Assigned work</w:t>
            </w:r>
          </w:p>
        </w:tc>
      </w:tr>
      <w:tr>
        <w:tc>
          <w:tcPr>
            <w:tcW w:type="dxa" w:w="4656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color w:val="111827"/>
                <w:sz w:val="19"/>
              </w:rPr>
              <w:t>Administrator and Program Manager configure all campuses and review cross-campus intelligence.</w:t>
            </w:r>
          </w:p>
        </w:tc>
        <w:tc>
          <w:tcPr>
            <w:tcW w:type="dxa" w:w="4656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color w:val="111827"/>
                <w:sz w:val="19"/>
              </w:rPr>
              <w:t>Campus Managers operate only inside their assigned campus and manage delivery.</w:t>
            </w:r>
          </w:p>
        </w:tc>
        <w:tc>
          <w:tcPr>
            <w:tcW w:type="dxa" w:w="4656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color w:val="111827"/>
                <w:sz w:val="19"/>
              </w:rPr>
              <w:t>Faculty see assigned teaching; students see enrolled subjects and outcomes.</w:t>
            </w:r>
          </w:p>
        </w:tc>
      </w:tr>
    </w:tbl>
    <w:p>
      <w:pPr>
        <w:spacing w:after="60"/>
      </w:pPr>
      <w:r>
        <w:rPr>
          <w:rFonts w:ascii="Aptos" w:hAnsi="Aptos"/>
          <w:b/>
          <w:color w:val="2563EB"/>
          <w:sz w:val="18"/>
        </w:rPr>
        <w:t>03 · ROLE GUIDE</w:t>
      </w:r>
    </w:p>
    <w:p>
      <w:pPr>
        <w:pStyle w:val="Heading1"/>
        <w:spacing w:after="120"/>
      </w:pPr>
      <w:r>
        <w:t>Leadership and campus operations</w:t>
      </w:r>
    </w:p>
    <w:p>
      <w:pPr>
        <w:pStyle w:val="Subtitle"/>
        <w:spacing w:after="240"/>
      </w:pPr>
      <w:r>
        <w:t>Administrative roles establish the academic structure and keep delivery aligned when conditions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13968"/>
            <w:gridSpan w:val="2"/>
            <w:shd w:fill="EAF2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111827"/>
                <w:sz w:val="28"/>
              </w:rPr>
              <w:t>Administrator / Program Manager</w:t>
            </w:r>
            <w:r>
              <w:rPr>
                <w:rFonts w:ascii="Aptos" w:hAnsi="Aptos"/>
                <w:b w:val="0"/>
                <w:color w:val="667085"/>
                <w:sz w:val="20"/>
              </w:rPr>
              <w:t xml:space="preserve">  ·  All campuses</w:t>
            </w:r>
          </w:p>
        </w:tc>
      </w:tr>
      <w:tr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do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Create semesters and maintain calendars, holidays, working days and exam windows.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Create subjects; manage users, campus managers and campus assignments.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Review notifications, reports, exports, audit history and AI summaries.</w:t>
            </w:r>
          </w:p>
        </w:tc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see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Cross-campus progress and teaching delivery.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Faculty activity and exam readiness.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Campus, subject, batch and track analytics across the organisation.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13968"/>
            <w:gridSpan w:val="2"/>
            <w:shd w:fill="E6F8F5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111827"/>
                <w:sz w:val="28"/>
              </w:rPr>
              <w:t>Campus Manager</w:t>
            </w:r>
            <w:r>
              <w:rPr>
                <w:rFonts w:ascii="Aptos" w:hAnsi="Aptos"/>
                <w:b w:val="0"/>
                <w:color w:val="667085"/>
                <w:sz w:val="20"/>
              </w:rPr>
              <w:t xml:space="preserve">  ·  Assigned campus</w:t>
            </w:r>
          </w:p>
        </w:tc>
      </w:tr>
      <w:tr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do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Create or link subjects, batches and people; assign faculty to subjects.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Upload and edit the full timetable, alter a particular class, and add extra classes.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Maintain permitted calendar changes and manage visiting-faculty per-class rates.</w:t>
            </w:r>
          </w:p>
        </w:tc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see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Campus subjects, timetable, lecture delivery and faculty activity.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Progress, exam readiness, notifications and campus reports.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Visiting-faculty class counts, approved payments and honorarium totals.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563EB"/>
          <w:sz w:val="18"/>
        </w:rPr>
        <w:t>04 · ROLE GUIDE</w:t>
      </w:r>
    </w:p>
    <w:p>
      <w:pPr>
        <w:pStyle w:val="Heading1"/>
        <w:spacing w:after="120"/>
      </w:pPr>
      <w:r>
        <w:t>Teaching and student experience</w:t>
      </w:r>
    </w:p>
    <w:p>
      <w:pPr>
        <w:pStyle w:val="Subtitle"/>
        <w:spacing w:after="240"/>
      </w:pPr>
      <w:r>
        <w:t>Teaching roles convert assigned hours into lesson plans and recorded delivery; students receive the resulting read-only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13968"/>
            <w:gridSpan w:val="2"/>
            <w:shd w:fill="FFF4D6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111827"/>
                <w:sz w:val="28"/>
              </w:rPr>
              <w:t>Faculty</w:t>
            </w:r>
            <w:r>
              <w:rPr>
                <w:rFonts w:ascii="Aptos" w:hAnsi="Aptos"/>
                <w:b w:val="0"/>
                <w:color w:val="667085"/>
                <w:sz w:val="20"/>
              </w:rPr>
              <w:t xml:space="preserve">  ·  Assigned subjects only</w:t>
            </w:r>
          </w:p>
        </w:tc>
      </w:tr>
      <w:tr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do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Upload a partial or full-semester lesson plan and manage planned dates.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Record daily lecture delivery and respond to schedule-change notifications.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Use optional WhatsApp logging when that integration is enabled.</w:t>
            </w:r>
          </w:p>
        </w:tc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see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Assigned hours, upcoming classes, covered and pending topics.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Subject progress, buffer ratio, exam readiness, AI insights and own reports.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Notifications only for assigned subjects and teaching actions.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13968"/>
            <w:gridSpan w:val="2"/>
            <w:shd w:fill="FFF4D6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111827"/>
                <w:sz w:val="28"/>
              </w:rPr>
              <w:t>Visiting Faculty</w:t>
            </w:r>
            <w:r>
              <w:rPr>
                <w:rFonts w:ascii="Aptos" w:hAnsi="Aptos"/>
                <w:b w:val="0"/>
                <w:color w:val="667085"/>
                <w:sz w:val="20"/>
              </w:rPr>
              <w:t xml:space="preserve">  ·  Assigned subjects and classes</w:t>
            </w:r>
          </w:p>
        </w:tc>
      </w:tr>
      <w:tr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do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Follow the Faculty workflow after receiving subject access.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Record classes actually delivered for approval and payment.</w:t>
            </w:r>
          </w:p>
        </w:tc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see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Assigned hours, timetable and subject plan.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Personal delivered-class count; honorarium is calculated per approved class.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13968"/>
            <w:gridSpan w:val="2"/>
            <w:shd w:fill="F0EAFE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111827"/>
                <w:sz w:val="28"/>
              </w:rPr>
              <w:t>Student</w:t>
            </w:r>
            <w:r>
              <w:rPr>
                <w:rFonts w:ascii="Aptos" w:hAnsi="Aptos"/>
                <w:b w:val="0"/>
                <w:color w:val="667085"/>
                <w:sz w:val="20"/>
              </w:rPr>
              <w:t xml:space="preserve">  ·  Enrolled campus and batch · read only</w:t>
            </w:r>
          </w:p>
        </w:tc>
      </w:tr>
      <w:tr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do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No academic editing or access-management actions.</w:t>
            </w:r>
          </w:p>
        </w:tc>
        <w:tc>
          <w:tcPr>
            <w:tcW w:type="dxa" w:w="6984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vAlign w:val="top"/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Can see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Enrolled subjects and assigned teachers.</w:t>
            </w:r>
          </w:p>
          <w:p>
            <w:pPr>
              <w:pStyle w:val="ListBullet"/>
              <w:spacing w:after="60"/>
              <w:ind w:left="245" w:hanging="173"/>
            </w:pPr>
            <w:r>
              <w:rPr>
                <w:rFonts w:ascii="Aptos" w:hAnsi="Aptos"/>
                <w:color w:val="111827"/>
                <w:sz w:val="19"/>
              </w:rPr>
              <w:t>Covered and upcoming topics, exam dates and syllabus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563EB"/>
          <w:sz w:val="18"/>
        </w:rPr>
        <w:t>05 · CHANGE MANAGEMENT</w:t>
      </w:r>
    </w:p>
    <w:p>
      <w:pPr>
        <w:pStyle w:val="Heading1"/>
        <w:spacing w:after="120"/>
      </w:pPr>
      <w:r>
        <w:t>Calendar changes trigger targeted updates</w:t>
      </w:r>
    </w:p>
    <w:p>
      <w:pPr>
        <w:pStyle w:val="Subtitle"/>
        <w:spacing w:after="240"/>
      </w:pPr>
      <w:r>
        <w:t>The system identifies impact first, asks the responsible faculty member when a teaching decision is required, and then refreshes dependent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49640" cy="1227768"/>
            <wp:docPr id="4" name="Picture 4" title="Calendar change and notification flow" descr="Calendar change finds affected classes, notifies assigned faculty when needed, updates the timetable and planned dates, then refreshes student and manager vie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diagram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1227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Aptos" w:hAnsi="Aptos"/>
          <w:b/>
          <w:color w:val="667085"/>
          <w:sz w:val="18"/>
        </w:rPr>
        <w:t>Figure 3 · Impact, decision and notification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shd w:fill="EAF2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1  Detect</w:t>
            </w:r>
          </w:p>
        </w:tc>
        <w:tc>
          <w:tcPr>
            <w:tcW w:type="dxa" w:w="3492"/>
            <w:shd w:fill="EAF2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2  Decide</w:t>
            </w:r>
          </w:p>
        </w:tc>
        <w:tc>
          <w:tcPr>
            <w:tcW w:type="dxa" w:w="3492"/>
            <w:shd w:fill="EAF2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3  Re-align</w:t>
            </w:r>
          </w:p>
        </w:tc>
        <w:tc>
          <w:tcPr>
            <w:tcW w:type="dxa" w:w="3492"/>
            <w:shd w:fill="EAF2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</w:tcPr>
          <w:p>
            <w:r>
              <w:rPr>
                <w:rFonts w:ascii="Aptos" w:hAnsi="Aptos"/>
                <w:b/>
                <w:color w:val="173B7A"/>
                <w:sz w:val="21"/>
              </w:rPr>
              <w:t>4  Notify</w:t>
            </w:r>
          </w:p>
        </w:tc>
      </w:tr>
      <w:tr>
        <w:tc>
          <w:tcPr>
            <w:tcW w:type="dxa" w:w="3492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827"/>
                <w:sz w:val="18"/>
              </w:rPr>
              <w:t>Find every future class affected by the calendar or exam-window change.</w:t>
            </w:r>
          </w:p>
        </w:tc>
        <w:tc>
          <w:tcPr>
            <w:tcW w:type="dxa" w:w="3492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827"/>
                <w:sz w:val="18"/>
              </w:rPr>
              <w:t>Ask the assigned faculty member when topic order or recovery timing needs a choice.</w:t>
            </w:r>
          </w:p>
        </w:tc>
        <w:tc>
          <w:tcPr>
            <w:tcW w:type="dxa" w:w="3492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827"/>
                <w:sz w:val="18"/>
              </w:rPr>
              <w:t>Update timetable dates, available hours and linked lesson-plan timing.</w:t>
            </w:r>
          </w:p>
        </w:tc>
        <w:tc>
          <w:tcPr>
            <w:tcW w:type="dxa" w:w="3492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827"/>
                <w:sz w:val="18"/>
              </w:rPr>
              <w:t>Show the result to the right faculty, manager, administrator and students.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" w:hAnsi="Aptos"/>
          <w:b/>
          <w:color w:val="2563EB"/>
          <w:sz w:val="18"/>
        </w:rPr>
        <w:t>06 · PERMISSION REFERENCE</w:t>
      </w:r>
    </w:p>
    <w:p>
      <w:pPr>
        <w:pStyle w:val="Heading1"/>
        <w:spacing w:after="120"/>
      </w:pPr>
      <w:r>
        <w:t>What each role may access</w:t>
      </w:r>
    </w:p>
    <w:p>
      <w:pPr>
        <w:pStyle w:val="Subtitle"/>
        <w:spacing w:after="240"/>
      </w:pPr>
      <w:r>
        <w:t>The interface and API apply the same role and scope checks. A visible control is never the security boundary.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4320"/>
            <w:shd w:fill="173B7A"/>
            <w:tcBorders>
              <w:top w:val="single" w:sz="8" w:space="0" w:color="173B7A"/>
              <w:left w:val="single" w:sz="8" w:space="0" w:color="173B7A"/>
              <w:bottom w:val="single" w:sz="8" w:space="0" w:color="173B7A"/>
              <w:right w:val="single" w:sz="8" w:space="0" w:color="173B7A"/>
              <w:insideH w:val="single" w:sz="8" w:space="0" w:color="173B7A"/>
              <w:insideV w:val="single" w:sz="8" w:space="0" w:color="173B7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160"/>
            <w:shd w:fill="173B7A"/>
            <w:tcBorders>
              <w:top w:val="single" w:sz="8" w:space="0" w:color="173B7A"/>
              <w:left w:val="single" w:sz="8" w:space="0" w:color="173B7A"/>
              <w:bottom w:val="single" w:sz="8" w:space="0" w:color="173B7A"/>
              <w:right w:val="single" w:sz="8" w:space="0" w:color="173B7A"/>
              <w:insideH w:val="single" w:sz="8" w:space="0" w:color="173B7A"/>
              <w:insideV w:val="single" w:sz="8" w:space="0" w:color="173B7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Admin</w:t>
            </w:r>
          </w:p>
        </w:tc>
        <w:tc>
          <w:tcPr>
            <w:tcW w:type="dxa" w:w="3024"/>
            <w:shd w:fill="173B7A"/>
            <w:tcBorders>
              <w:top w:val="single" w:sz="8" w:space="0" w:color="173B7A"/>
              <w:left w:val="single" w:sz="8" w:space="0" w:color="173B7A"/>
              <w:bottom w:val="single" w:sz="8" w:space="0" w:color="173B7A"/>
              <w:right w:val="single" w:sz="8" w:space="0" w:color="173B7A"/>
              <w:insideH w:val="single" w:sz="8" w:space="0" w:color="173B7A"/>
              <w:insideV w:val="single" w:sz="8" w:space="0" w:color="173B7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Campus manager</w:t>
            </w:r>
          </w:p>
        </w:tc>
        <w:tc>
          <w:tcPr>
            <w:tcW w:type="dxa" w:w="2160"/>
            <w:shd w:fill="173B7A"/>
            <w:tcBorders>
              <w:top w:val="single" w:sz="8" w:space="0" w:color="173B7A"/>
              <w:left w:val="single" w:sz="8" w:space="0" w:color="173B7A"/>
              <w:bottom w:val="single" w:sz="8" w:space="0" w:color="173B7A"/>
              <w:right w:val="single" w:sz="8" w:space="0" w:color="173B7A"/>
              <w:insideH w:val="single" w:sz="8" w:space="0" w:color="173B7A"/>
              <w:insideV w:val="single" w:sz="8" w:space="0" w:color="173B7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Faculty</w:t>
            </w:r>
          </w:p>
        </w:tc>
        <w:tc>
          <w:tcPr>
            <w:tcW w:type="dxa" w:w="2160"/>
            <w:shd w:fill="173B7A"/>
            <w:tcBorders>
              <w:top w:val="single" w:sz="8" w:space="0" w:color="173B7A"/>
              <w:left w:val="single" w:sz="8" w:space="0" w:color="173B7A"/>
              <w:bottom w:val="single" w:sz="8" w:space="0" w:color="173B7A"/>
              <w:right w:val="single" w:sz="8" w:space="0" w:color="173B7A"/>
              <w:insideH w:val="single" w:sz="8" w:space="0" w:color="173B7A"/>
              <w:insideV w:val="single" w:sz="8" w:space="0" w:color="173B7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Student</w:t>
            </w:r>
          </w:p>
        </w:tc>
      </w:tr>
      <w:tr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All-campus analytics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Full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Assigned-campus operations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Full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Full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Read only</w:t>
            </w:r>
          </w:p>
        </w:tc>
      </w:tr>
      <w:tr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Semester and calendar maintenance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Full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Assigned campus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Subject and faculty assignment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Full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Assigned campus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Timetable management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Full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Assigned campus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View assigned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View enrolled</w:t>
            </w:r>
          </w:p>
        </w:tc>
      </w:tr>
      <w:tr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Lesson plans and lecture logs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Review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Review campus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Own subjects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View outcomes</w:t>
            </w:r>
          </w:p>
        </w:tc>
      </w:tr>
      <w:tr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Reports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All campuses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Assigned campus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Own teaching</w:t>
            </w:r>
          </w:p>
        </w:tc>
        <w:tc>
          <w:tcPr>
            <w:tcW w:type="dxa" w:w="2794"/>
            <w:shd w:fill="FFFFFF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—</w:t>
            </w:r>
          </w:p>
        </w:tc>
      </w:tr>
      <w:tr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/>
                <w:color w:val="111827"/>
                <w:sz w:val="18"/>
              </w:rPr>
              <w:t>Notifications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Global / escalated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Campus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Assigned subjects</w:t>
            </w:r>
          </w:p>
        </w:tc>
        <w:tc>
          <w:tcPr>
            <w:tcW w:type="dxa" w:w="2794"/>
            <w:shd w:fill="F4F7FB"/>
            <w:tcBorders>
              <w:top w:val="single" w:sz="8" w:space="0" w:color="DCE3EC"/>
              <w:left w:val="single" w:sz="8" w:space="0" w:color="DCE3EC"/>
              <w:bottom w:val="single" w:sz="8" w:space="0" w:color="DCE3EC"/>
              <w:right w:val="single" w:sz="8" w:space="0" w:color="DCE3EC"/>
              <w:insideH w:val="single" w:sz="8" w:space="0" w:color="DCE3EC"/>
              <w:insideV w:val="single" w:sz="8" w:space="0" w:color="DCE3EC"/>
            </w:tcBorders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11827"/>
                <w:sz w:val="18"/>
              </w:rPr>
              <w:t>Relevant results</w:t>
            </w:r>
          </w:p>
        </w:tc>
      </w:tr>
    </w:tbl>
    <w:p>
      <w:pPr>
        <w:pStyle w:val="Heading2"/>
        <w:spacing w:before="240" w:after="100"/>
      </w:pPr>
      <w:r>
        <w:t>Permission principles</w:t>
      </w:r>
    </w:p>
    <w:p>
      <w:pPr>
        <w:pStyle w:val="ListBullet"/>
        <w:spacing w:after="40"/>
      </w:pPr>
      <w:r>
        <w:t>Campus managers cannot manage another campus.</w:t>
      </w:r>
    </w:p>
    <w:p>
      <w:pPr>
        <w:pStyle w:val="ListBullet"/>
        <w:spacing w:after="40"/>
      </w:pPr>
      <w:r>
        <w:t>Faculty cannot view or edit another faculty member’s subject unless separately assigned.</w:t>
      </w:r>
    </w:p>
    <w:p>
      <w:pPr>
        <w:pStyle w:val="ListBullet"/>
        <w:spacing w:after="40"/>
      </w:pPr>
      <w:r>
        <w:t>Students cannot edit calendars, timetables, plans, logs, progress or user access.</w:t>
      </w:r>
    </w:p>
    <w:p>
      <w:pPr>
        <w:pStyle w:val="ListBullet"/>
        <w:spacing w:after="40"/>
      </w:pPr>
      <w:r>
        <w:t>Changes to teaching history retain the responsible user and time for review.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35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2816"/>
      <w:gridCol w:w="1152"/>
    </w:tblGrid>
    <w:tr>
      <w:tc>
        <w:tcPr>
          <w:tcW w:type="dxa" w:w="6984"/>
        </w:tcPr>
        <w:p>
          <w:pPr>
            <w:jc w:val="left"/>
          </w:pPr>
          <w:r>
            <w:rPr>
              <w:rFonts w:ascii="Aptos" w:hAnsi="Aptos"/>
              <w:b/>
              <w:color w:val="173B7A"/>
              <w:sz w:val="16"/>
            </w:rPr>
            <w:t>MIRAI TRACKER  ·  ROLE WORKFLOWS</w:t>
          </w:r>
        </w:p>
      </w:tc>
      <w:tc>
        <w:tcPr>
          <w:tcW w:type="dxa" w:w="6984"/>
        </w:tcPr>
        <w:p>
          <w:pPr>
            <w:jc w:val="right"/>
          </w:pPr>
          <w:r>
            <w:rPr>
              <w:rFonts w:ascii="Aptos" w:hAnsi="Aptos"/>
              <w:color w:val="667085"/>
              <w:sz w:val="16"/>
            </w:rPr>
            <w:t>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Mirai Tracker Role Workflows and Access</dc:title>
  <dc:subject>Academic delivery flow, role responsibilities, permissions and notifications</dc:subject>
  <dc:creator>Mirai School of Technology</dc:creator>
  <cp:keywords>Mirai Tracker, workflow, roles, permissions, academic delivery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