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Purpose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establishes the System Maintenance Policy and Procedures for the Information System Maintenance program. This program helps implement security best practices for system maintenance and repairs.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scope of these Policies and Procedures apply to all information system resources owned or operated by the organization. These policies and procedures apply to all users of the information system, including any contracted employees or third parties providing services.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Roles/Responsibilities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organizations management is responsible for:</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Complying with all policies and procedures</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Ensuring that all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project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users comply with all policies and procedures.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organizations users are responsible for:</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to the information system network at least once every two week period to ensure latest updates/patches have been applied.</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Comply with all policies, directives and laws.</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violation of policy immediately.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Management Commitment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Information System Manager is responsible for ensuring that the information systems maintenance policy and procedures are implemented and periodically reviewed annually and revised as required.</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Policies &amp; Procedures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System Maintenance: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and document controls over system maintenance.</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and update the controls over system maintenance annually.</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 and deploy patch management on all servers, workstations, and mobile devices.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scheduled scans of application and hardware inventories.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Deviations from this schedule must be documented with a waiver from the Information System manager.</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 monthly scans for missing updates within one (1) business day following the scheduled server patch cycle.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shall connect their workstation to the Information System network every two weeks for no less than two hours for system updates and patching.</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Non-local Information System Maintenance:</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multi-factor authentication in the establishment of non-local maintenance and diagnostic sessions.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Authorize, monitor and log all non-local maintenance and diagnostic activities.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Retain all logs and records for non-local maintenance and diagnostic activities.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 controls to terminate sessions and network connections when non-local maintenance is completed.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Maintenance Personnel:</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a process for maintenance personnel authorization</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 a list of authorized maintenance personnel online in a common repository for quarterly review by the Information Systems manager.</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Validate that personnel performing maintenance on the information System have required access authorizations.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Assign designated organizational personnel with required access authorizations and technical competence deemed necessary, to supervise any personnel not having required access authorization.</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 Group Project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Maintenance Policies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Procedures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