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lineRule="auto"/>
        <w:jc w:val="center"/>
      </w:pPr>
      <w:r>
        <w:rPr>
          <w:rFonts w:ascii="Arial" w:cs="Arial" w:eastAsia="Arial" w:hAnsi="Arial"/>
          <w:i/>
          <w:iCs/>
          <w:color w:val="7F7F7F"/>
          <w:sz w:val="18"/>
          <w:szCs w:val="18"/>
        </w:rPr>
        <w:t xml:space="preserve">Computación y Sistemas — Versión para revisión</w:t>
      </w:r>
    </w:p>
    <w:p>
      <w:pPr>
        <w:spacing w:after="0" w:before="0" w:line="240" w:lineRule="auto"/>
      </w:pPr>
      <w:r>
        <w:rPr>
          <w:rFonts w:ascii="Arial" w:cs="Arial" w:eastAsia="Arial" w:hAnsi="Arial"/>
          <w:sz w:val="20"/>
          <w:szCs w:val="20"/>
        </w:rPr>
        <w:t xml:space="preserve"/>
      </w:r>
    </w:p>
    <w:p>
      <w:pPr>
        <w:spacing w:after="80" w:before="0" w:line="240" w:lineRule="auto"/>
        <w:jc w:val="center"/>
      </w:pPr>
      <w:r>
        <w:rPr>
          <w:rFonts w:ascii="Arial" w:cs="Arial" w:eastAsia="Arial" w:hAnsi="Arial"/>
          <w:b/>
          <w:bCs/>
          <w:sz w:val="28"/>
          <w:szCs w:val="28"/>
        </w:rPr>
        <w:t xml:space="preserve">SciAgent v3: arquitectura multiagente para la producción, revisión y validación de artículos científicos asistida por inteligencia artificial</w:t>
      </w:r>
    </w:p>
    <w:p>
      <w:pPr>
        <w:spacing w:after="40" w:before="60" w:line="240" w:lineRule="auto"/>
        <w:jc w:val="center"/>
      </w:pPr>
      <w:r>
        <w:rPr>
          <w:rFonts w:ascii="Arial" w:cs="Arial" w:eastAsia="Arial" w:hAnsi="Arial"/>
          <w:i/>
          <w:iCs/>
          <w:color w:val="595959"/>
          <w:sz w:val="22"/>
          <w:szCs w:val="22"/>
        </w:rPr>
        <w:t xml:space="preserve">SciAgent v3: a multi-agent architecture for AI-assisted scientific article production, review, and validation</w:t>
      </w:r>
    </w:p>
    <w:p>
      <w:pPr>
        <w:spacing w:after="0" w:before="0" w:line="240" w:lineRule="auto"/>
      </w:pPr>
      <w:r>
        <w:rPr>
          <w:rFonts w:ascii="Arial" w:cs="Arial" w:eastAsia="Arial" w:hAnsi="Arial"/>
          <w:sz w:val="20"/>
          <w:szCs w:val="20"/>
        </w:rPr>
        <w:t xml:space="preserve"/>
      </w:r>
    </w:p>
    <w:p>
      <w:pPr>
        <w:spacing w:after="40" w:before="0" w:line="240" w:lineRule="auto"/>
        <w:jc w:val="center"/>
      </w:pPr>
      <w:r>
        <w:rPr>
          <w:rFonts w:ascii="Arial" w:cs="Arial" w:eastAsia="Arial" w:hAnsi="Arial"/>
          <w:b/>
          <w:bCs/>
          <w:sz w:val="20"/>
          <w:szCs w:val="20"/>
        </w:rPr>
        <w:t xml:space="preserve">Manuel J. Sotomayor-Fernández</w:t>
      </w:r>
    </w:p>
    <w:p>
      <w:pPr>
        <w:spacing w:after="40" w:before="0" w:line="240" w:lineRule="auto"/>
        <w:jc w:val="center"/>
      </w:pPr>
      <w:r>
        <w:rPr>
          <w:rFonts w:ascii="Arial" w:cs="Arial" w:eastAsia="Arial" w:hAnsi="Arial"/>
          <w:sz w:val="20"/>
          <w:szCs w:val="20"/>
        </w:rPr>
        <w:t xml:space="preserve">Universidad Tecnológica del Perú, Sede Piura — Piura, Perú</w:t>
      </w:r>
    </w:p>
    <w:p>
      <w:pPr>
        <w:spacing w:after="40" w:before="0" w:line="240" w:lineRule="auto"/>
        <w:jc w:val="center"/>
      </w:pPr>
      <w:r>
        <w:rPr>
          <w:rFonts w:ascii="Arial" w:cs="Arial" w:eastAsia="Arial" w:hAnsi="Arial"/>
          <w:sz w:val="20"/>
          <w:szCs w:val="20"/>
        </w:rPr>
        <w:t xml:space="preserve">ORCID: 0000-0002-7105-620X</w:t>
      </w:r>
    </w:p>
    <w:p>
      <w:pPr>
        <w:spacing w:after="40" w:before="0" w:line="240" w:lineRule="auto"/>
        <w:jc w:val="center"/>
      </w:pPr>
      <w:r>
        <w:rPr>
          <w:rFonts w:ascii="Arial" w:cs="Arial" w:eastAsia="Arial" w:hAnsi="Arial"/>
          <w:sz w:val="20"/>
          <w:szCs w:val="20"/>
        </w:rPr>
        <w:t xml:space="preserve">msotomayorf@gmail.com</w:t>
      </w:r>
    </w:p>
    <w:p>
      <w:pPr>
        <w:spacing w:after="40" w:before="0" w:line="240" w:lineRule="auto"/>
        <w:jc w:val="center"/>
      </w:pPr>
      <w:r>
        <w:rPr>
          <w:rFonts w:ascii="Arial" w:cs="Arial" w:eastAsia="Arial" w:hAnsi="Arial"/>
          <w:i/>
          <w:iCs/>
          <w:sz w:val="18"/>
          <w:szCs w:val="18"/>
        </w:rPr>
        <w:t xml:space="preserve">Correspondencia: msotomayorf@gmail.com</w:t>
      </w:r>
    </w:p>
    <w:p>
      <w:pPr>
        <w:spacing w:after="0" w:before="0" w:line="240" w:lineRule="auto"/>
      </w:pPr>
      <w:r>
        <w:rPr>
          <w:rFonts w:ascii="Arial" w:cs="Arial" w:eastAsia="Arial" w:hAnsi="Arial"/>
          <w:sz w:val="20"/>
          <w:szCs w:val="20"/>
        </w:rPr>
        <w:t xml:space="preserve"/>
      </w:r>
    </w:p>
    <w:p>
      <w:pPr>
        <w:spacing w:after="80" w:before="200" w:line="240" w:lineRule="auto"/>
      </w:pPr>
      <w:r>
        <w:rPr>
          <w:rFonts w:ascii="Arial" w:cs="Arial" w:eastAsia="Arial" w:hAnsi="Arial"/>
          <w:b/>
          <w:bCs/>
          <w:color w:val="000000"/>
          <w:sz w:val="22"/>
          <w:szCs w:val="22"/>
        </w:rPr>
        <w:t xml:space="preserve">Resumen</w:t>
      </w:r>
    </w:p>
    <w:p>
      <w:pPr>
        <w:spacing w:after="80" w:before="0" w:line="240" w:lineRule="auto"/>
        <w:jc w:val="both"/>
      </w:pPr>
      <w:r>
        <w:rPr>
          <w:rFonts w:ascii="Arial" w:cs="Arial" w:eastAsia="Arial" w:hAnsi="Arial"/>
          <w:b w:val="false"/>
          <w:bCs w:val="false"/>
          <w:i w:val="false"/>
          <w:iCs w:val="false"/>
          <w:color w:val="000000"/>
          <w:sz w:val="20"/>
          <w:szCs w:val="20"/>
        </w:rPr>
        <w:t xml:space="preserve">SciAgent v3 es un sistema de agentes de inteligencia artificial diseñado para asistir al investigador académico en la producción, revisión y validación de artículos científicos. La arquitectura integra doce agentes especializados: un verificador previo (Agente 0), ocho agentes de producción (Investigador, Metodólogo, Analista, Redactor, Revisor, Editor, Humanizador y Director Visual) y tres agentes de evaluación académica (SMID-MA 3.0: Evaluador de Calidad, Detector de Vacíos y Evaluador Scopus/WoS). El sistema fue diseñado e implementado por un investigador social sin formación en programación, bajo el principio de aprendizaje situado. Los resultados incluyen cinco trabajos académicos en distintas etapas de validación: un artículo de sociología algorítmica, un artículo de planeamiento estratégico regional, un artículo de historia política peruana, una tesis de maestría revisada y una propuesta institucional de prospectiva regional. El código está disponible en GitHub bajo licencia MIT.</w:t>
      </w:r>
    </w:p>
    <w:p>
      <w:pPr>
        <w:spacing w:after="40" w:before="60" w:line="240" w:lineRule="auto"/>
      </w:pPr>
      <w:r>
        <w:rPr>
          <w:rFonts w:ascii="Arial" w:cs="Arial" w:eastAsia="Arial" w:hAnsi="Arial"/>
          <w:b/>
          <w:bCs/>
          <w:sz w:val="20"/>
          <w:szCs w:val="20"/>
        </w:rPr>
        <w:t xml:space="preserve">Palabras clave: </w:t>
      </w:r>
      <w:r>
        <w:rPr>
          <w:rFonts w:ascii="Arial" w:cs="Arial" w:eastAsia="Arial" w:hAnsi="Arial"/>
          <w:sz w:val="20"/>
          <w:szCs w:val="20"/>
        </w:rPr>
        <w:t xml:space="preserve">sistemas multiagente; inteligencia artificial; producción científica; validación académica; sociología algorítmica; América Latina; Perú.</w:t>
      </w:r>
    </w:p>
    <w:p>
      <w:pPr>
        <w:spacing w:after="0" w:before="0" w:line="240" w:lineRule="auto"/>
      </w:pPr>
      <w:r>
        <w:rPr>
          <w:rFonts w:ascii="Arial" w:cs="Arial" w:eastAsia="Arial" w:hAnsi="Arial"/>
          <w:sz w:val="20"/>
          <w:szCs w:val="20"/>
        </w:rPr>
        <w:t xml:space="preserve"/>
      </w:r>
    </w:p>
    <w:p>
      <w:pPr>
        <w:spacing w:after="80" w:before="200" w:line="240" w:lineRule="auto"/>
      </w:pPr>
      <w:r>
        <w:rPr>
          <w:rFonts w:ascii="Arial" w:cs="Arial" w:eastAsia="Arial" w:hAnsi="Arial"/>
          <w:b/>
          <w:bCs/>
          <w:color w:val="000000"/>
          <w:sz w:val="22"/>
          <w:szCs w:val="22"/>
        </w:rPr>
        <w:t xml:space="preserve">Abstract</w:t>
      </w:r>
    </w:p>
    <w:p>
      <w:pPr>
        <w:spacing w:after="80" w:before="0" w:line="240" w:lineRule="auto"/>
        <w:jc w:val="both"/>
      </w:pPr>
      <w:r>
        <w:rPr>
          <w:rFonts w:ascii="Arial" w:cs="Arial" w:eastAsia="Arial" w:hAnsi="Arial"/>
          <w:b w:val="false"/>
          <w:bCs w:val="false"/>
          <w:i w:val="false"/>
          <w:iCs w:val="false"/>
          <w:color w:val="000000"/>
          <w:sz w:val="20"/>
          <w:szCs w:val="20"/>
        </w:rPr>
        <w:t xml:space="preserve">SciAgent v3 is a multi-agent artificial intelligence system designed to assist academic researchers in the production, review, and validation of scientific articles. The architecture integrates twelve specialized agents: a pre-verification agent (Agent 0), eight production agents (Researcher, Methodologist, Analyst, Writer, Reviewer, Editor, Humanizer, and Visual Director), and three academic evaluation agents (SMID-MA 3.0: Quality Evaluator, Gap Detector, and Scopus/WoS Evaluator). The system was designed and implemented by a social science researcher with no programming background, using the principle of situated learning. Results include five academic outputs at different stages of validation: an algorithmic sociology article, a regional strategic planning article, a Peruvian political history article, a revised master's thesis, and an institutional prospective planning proposal. Code is available on GitHub under the MIT license.</w:t>
      </w:r>
    </w:p>
    <w:p>
      <w:pPr>
        <w:spacing w:after="40" w:before="60" w:line="240" w:lineRule="auto"/>
      </w:pPr>
      <w:r>
        <w:rPr>
          <w:rFonts w:ascii="Arial" w:cs="Arial" w:eastAsia="Arial" w:hAnsi="Arial"/>
          <w:b/>
          <w:bCs/>
          <w:sz w:val="20"/>
          <w:szCs w:val="20"/>
        </w:rPr>
        <w:t xml:space="preserve">Keywords: </w:t>
      </w:r>
      <w:r>
        <w:rPr>
          <w:rFonts w:ascii="Arial" w:cs="Arial" w:eastAsia="Arial" w:hAnsi="Arial"/>
          <w:sz w:val="20"/>
          <w:szCs w:val="20"/>
        </w:rPr>
        <w:t xml:space="preserve">multi-agent systems; artificial intelligence; scientific production; academic validation; algorithmic sociology; Latin America; Peru.</w:t>
      </w:r>
    </w:p>
    <w:p>
      <w:pPr>
        <w:spacing w:after="0" w:before="0" w:line="240" w:lineRule="auto"/>
      </w:pPr>
      <w:r>
        <w:rPr>
          <w:rFonts w:ascii="Arial" w:cs="Arial" w:eastAsia="Arial" w:hAnsi="Arial"/>
          <w:sz w:val="20"/>
          <w:szCs w:val="20"/>
        </w:rPr>
        <w:t xml:space="preserve"/>
      </w:r>
    </w:p>
    <w:p>
      <w:pPr>
        <w:spacing w:after="80" w:before="200" w:line="240" w:lineRule="auto"/>
      </w:pPr>
      <w:r>
        <w:rPr>
          <w:rFonts w:ascii="Arial" w:cs="Arial" w:eastAsia="Arial" w:hAnsi="Arial"/>
          <w:b/>
          <w:bCs/>
          <w:color w:val="000000"/>
          <w:sz w:val="22"/>
          <w:szCs w:val="22"/>
        </w:rPr>
        <w:t xml:space="preserve">1. Introducción</w:t>
      </w:r>
    </w:p>
    <w:p>
      <w:pPr>
        <w:spacing w:after="80" w:before="0" w:line="240" w:lineRule="auto"/>
        <w:jc w:val="both"/>
      </w:pPr>
      <w:r>
        <w:rPr>
          <w:rFonts w:ascii="Arial" w:cs="Arial" w:eastAsia="Arial" w:hAnsi="Arial"/>
          <w:b w:val="false"/>
          <w:bCs w:val="false"/>
          <w:i w:val="false"/>
          <w:iCs w:val="false"/>
          <w:color w:val="000000"/>
          <w:sz w:val="20"/>
          <w:szCs w:val="20"/>
        </w:rPr>
        <w:t xml:space="preserve">La inteligencia artificial generativa ha transformado las condiciones de producción del conocimiento científico. En menos de tres años, los sistemas de lenguaje de gran escala (LLM) han pasado de ser herramientas de asistencia puntual a convertirse en componentes activos de los flujos de trabajo de investigadores en todo el mundo [1, 2]. Sin embargo, la mayor parte de la literatura sobre el tema describe experiencias de usuarios del norte global, con acceso a infraestructura tecnológica robusta, formación técnica avanzada y contextos institucionales que facilitan la experimentación.</w:t>
      </w:r>
    </w:p>
    <w:p>
      <w:pPr>
        <w:spacing w:after="80" w:before="0" w:line="240" w:lineRule="auto"/>
        <w:jc w:val="both"/>
      </w:pPr>
      <w:r>
        <w:rPr>
          <w:rFonts w:ascii="Arial" w:cs="Arial" w:eastAsia="Arial" w:hAnsi="Arial"/>
          <w:b w:val="false"/>
          <w:bCs w:val="false"/>
          <w:i w:val="false"/>
          <w:iCs w:val="false"/>
          <w:color w:val="000000"/>
          <w:sz w:val="20"/>
          <w:szCs w:val="20"/>
        </w:rPr>
        <w:t xml:space="preserve">Este trabajo documenta una experiencia distinta: el diseño, la implementación y la evaluación de un sistema multiagente de producción científica por parte de un investigador social de la Universidad Tecnológica del Perú, sede Piura, sin formación en programación y en un contexto de conectividad limitada. El sistema resultante, denominado SciAgent v3, integra doce agentes especializados y ha sido aplicado a la producción de cinco trabajos académicos en disciplinas que van desde la sociología algorítmica hasta la historia política peruana.</w:t>
      </w:r>
    </w:p>
    <w:p>
      <w:pPr>
        <w:spacing w:after="80" w:before="0" w:line="240" w:lineRule="auto"/>
        <w:jc w:val="both"/>
      </w:pPr>
      <w:r>
        <w:rPr>
          <w:rFonts w:ascii="Arial" w:cs="Arial" w:eastAsia="Arial" w:hAnsi="Arial"/>
          <w:b w:val="false"/>
          <w:bCs w:val="false"/>
          <w:i w:val="false"/>
          <w:iCs w:val="false"/>
          <w:color w:val="000000"/>
          <w:sz w:val="20"/>
          <w:szCs w:val="20"/>
        </w:rPr>
        <w:t xml:space="preserve">El argumento central es que el valor del sistema no reside en su capacidad de generar texto de manera autónoma, sino en la calidad de la fusión entre el conocimiento disciplinario del investigador y la capacidad de procesamiento del sistema. El código fuente está disponible en https://github.com/msotomayorf-code/sciagent (licencia MIT).</w:t>
      </w:r>
    </w:p>
    <w:p>
      <w:pPr>
        <w:spacing w:after="80" w:before="200" w:line="240" w:lineRule="auto"/>
      </w:pPr>
      <w:r>
        <w:rPr>
          <w:rFonts w:ascii="Arial" w:cs="Arial" w:eastAsia="Arial" w:hAnsi="Arial"/>
          <w:b/>
          <w:bCs/>
          <w:color w:val="000000"/>
          <w:sz w:val="22"/>
          <w:szCs w:val="22"/>
        </w:rPr>
        <w:t xml:space="preserve">2. El problema: producción científica en condiciones de restricción</w:t>
      </w:r>
    </w:p>
    <w:p>
      <w:pPr>
        <w:spacing w:after="80" w:before="0" w:line="240" w:lineRule="auto"/>
        <w:jc w:val="both"/>
      </w:pPr>
      <w:r>
        <w:rPr>
          <w:rFonts w:ascii="Arial" w:cs="Arial" w:eastAsia="Arial" w:hAnsi="Arial"/>
          <w:b w:val="false"/>
          <w:bCs w:val="false"/>
          <w:i w:val="false"/>
          <w:iCs w:val="false"/>
          <w:color w:val="000000"/>
          <w:sz w:val="20"/>
          <w:szCs w:val="20"/>
        </w:rPr>
        <w:t xml:space="preserve">El investigador universitario latinoamericano enfrenta tres restricciones simultáneas. La primera es temporal: la carga docente en universidades privadas del interior puede superar las veinte horas semanales, dejando márgenes muy estrechos para la investigación sistemática. La segunda es bibliográfica: el acceso a bases de datos indexadas (Scopus, Web of Science) depende de suscripciones institucionales que no siempre se renuevan. La tercera es metodológica: el dominio de herramientas cuantitativas avanzadas requiere una formación que los programas de ciencias sociales latinoamericanos rara vez ofrecen de manera sistemática.</w:t>
      </w:r>
    </w:p>
    <w:p>
      <w:pPr>
        <w:spacing w:after="80" w:before="0" w:line="240" w:lineRule="auto"/>
        <w:jc w:val="both"/>
      </w:pPr>
      <w:r>
        <w:rPr>
          <w:rFonts w:ascii="Arial" w:cs="Arial" w:eastAsia="Arial" w:hAnsi="Arial"/>
          <w:b w:val="false"/>
          <w:bCs w:val="false"/>
          <w:i w:val="false"/>
          <w:iCs w:val="false"/>
          <w:color w:val="000000"/>
          <w:sz w:val="20"/>
          <w:szCs w:val="20"/>
        </w:rPr>
        <w:t xml:space="preserve">Frente a esas restricciones, los sistemas de IA generativa abren una posibilidad nueva: el investigador con conocimiento disciplinario pero sin tiempo o herramientas técnicas puede delegar las tareas de procesamiento al sistema, conservando el juicio y la responsabilidad intelectual sobre el proceso. SciAgent v3 es una propuesta concreta de cómo organizar esa delegación de manera sistemática, trazable y científicamente rigurosa.</w:t>
      </w:r>
    </w:p>
    <w:p>
      <w:pPr>
        <w:spacing w:after="80" w:before="200" w:line="240" w:lineRule="auto"/>
      </w:pPr>
      <w:r>
        <w:rPr>
          <w:rFonts w:ascii="Arial" w:cs="Arial" w:eastAsia="Arial" w:hAnsi="Arial"/>
          <w:b/>
          <w:bCs/>
          <w:color w:val="000000"/>
          <w:sz w:val="22"/>
          <w:szCs w:val="22"/>
        </w:rPr>
        <w:t xml:space="preserve">3. Arquitectura de SciAgent v3</w:t>
      </w:r>
    </w:p>
    <w:p>
      <w:pPr>
        <w:spacing w:after="40" w:before="120" w:line="240" w:lineRule="auto"/>
      </w:pPr>
      <w:r>
        <w:rPr>
          <w:rFonts w:ascii="Arial" w:cs="Arial" w:eastAsia="Arial" w:hAnsi="Arial"/>
          <w:b/>
          <w:bCs/>
          <w:i/>
          <w:iCs/>
          <w:color w:val="000000"/>
          <w:sz w:val="20"/>
          <w:szCs w:val="20"/>
        </w:rPr>
        <w:t xml:space="preserve">3.1. Principios de diseño</w:t>
      </w:r>
    </w:p>
    <w:p>
      <w:pPr>
        <w:spacing w:after="80" w:before="0" w:line="240" w:lineRule="auto"/>
        <w:jc w:val="both"/>
      </w:pPr>
      <w:r>
        <w:rPr>
          <w:rFonts w:ascii="Arial" w:cs="Arial" w:eastAsia="Arial" w:hAnsi="Arial"/>
          <w:b w:val="false"/>
          <w:bCs w:val="false"/>
          <w:i w:val="false"/>
          <w:iCs w:val="false"/>
          <w:color w:val="000000"/>
          <w:sz w:val="20"/>
          <w:szCs w:val="20"/>
        </w:rPr>
        <w:t xml:space="preserve">SciAgent v3 fue diseñado bajo tres principios: (a) especialización: cada agente tiene una función delimitada y no interviene en las funciones de los demás; (b) trazabilidad: cada output incluye indicadores explícitos del estado de validación y de las decisiones tomadas en el proceso; y (c) soberanía del investigador: el sistema nunca toma decisiones críticas de manera autónoma — siempre somete sus outputs al juicio del investigador antes de avanzar.</w:t>
      </w:r>
    </w:p>
    <w:p>
      <w:pPr>
        <w:spacing w:after="40" w:before="120" w:line="240" w:lineRule="auto"/>
      </w:pPr>
      <w:r>
        <w:rPr>
          <w:rFonts w:ascii="Arial" w:cs="Arial" w:eastAsia="Arial" w:hAnsi="Arial"/>
          <w:b/>
          <w:bCs/>
          <w:i/>
          <w:iCs/>
          <w:color w:val="000000"/>
          <w:sz w:val="20"/>
          <w:szCs w:val="20"/>
        </w:rPr>
        <w:t xml:space="preserve">3.2. Los doce agentes</w:t>
      </w:r>
    </w:p>
    <w:p>
      <w:pPr>
        <w:spacing w:after="80" w:before="0" w:line="240" w:lineRule="auto"/>
        <w:jc w:val="both"/>
      </w:pPr>
      <w:r>
        <w:rPr>
          <w:rFonts w:ascii="Arial" w:cs="Arial" w:eastAsia="Arial" w:hAnsi="Arial"/>
          <w:b w:val="false"/>
          <w:bCs w:val="false"/>
          <w:i w:val="false"/>
          <w:iCs w:val="false"/>
          <w:color w:val="000000"/>
          <w:sz w:val="20"/>
          <w:szCs w:val="20"/>
        </w:rPr>
        <w:t xml:space="preserve">La arquitectura integra doce agentes en tres capas funcionales. La Capa 0 contiene el Agente 0 (Verificador Previo), que ejecuta un checklist antes de activar el pipeline. La Capa 1 contiene ocho agentes de producción en secuencia: Investigador, Metodólogo, Analista, Redactor, Revisor, Editor, Humanizador y Director Visual. La Capa 2 es el Sistema Maestro de Investigación Doctoral Multiagente (SMID-MA 3.0), con tres agentes de evaluación: Evaluador de Calidad, Detector de Vacíos y Evaluador Scopus/WoS. La Tabla 1 resume la arquitectura completa.</w:t>
      </w:r>
    </w:p>
    <w:p>
      <w:pPr>
        <w:spacing w:after="0" w:before="0" w:line="240" w:lineRule="auto"/>
      </w:pPr>
      <w:r>
        <w:rPr>
          <w:rFonts w:ascii="Arial" w:cs="Arial" w:eastAsia="Arial" w:hAnsi="Arial"/>
          <w:sz w:val="20"/>
          <w:szCs w:val="20"/>
        </w:rPr>
        <w:t xml:space="preserve"/>
      </w:r>
    </w:p>
    <w:p>
      <w:pPr>
        <w:spacing w:after="60" w:before="0" w:line="240" w:lineRule="auto"/>
        <w:jc w:val="center"/>
      </w:pPr>
      <w:r>
        <w:rPr>
          <w:rFonts w:ascii="Arial" w:cs="Arial" w:eastAsia="Arial" w:hAnsi="Arial"/>
          <w:b/>
          <w:bCs/>
          <w:i/>
          <w:iCs/>
          <w:sz w:val="20"/>
          <w:szCs w:val="20"/>
        </w:rPr>
        <w:t xml:space="preserve">Tabla 1. Arquitectura de SciAgent v3 — agentes y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auto" w:w="0"/>
            <w:shd w:fill="D9D9D9" w:color="auto" w:val="clear"/>
          </w:tcPr>
          <w:p>
            <w:pPr>
              <w:spacing w:after="40" w:before="40" w:line="240" w:lineRule="auto"/>
            </w:pPr>
            <w:r>
              <w:rPr>
                <w:rFonts w:ascii="Arial" w:cs="Arial" w:eastAsia="Arial" w:hAnsi="Arial"/>
                <w:b/>
                <w:bCs/>
                <w:sz w:val="18"/>
                <w:szCs w:val="18"/>
              </w:rPr>
              <w:t xml:space="preserve">Capa</w:t>
            </w:r>
          </w:p>
        </w:tc>
        <w:tc>
          <w:tcPr>
            <w:tcW w:type="auto" w:w="0"/>
            <w:shd w:fill="D9D9D9" w:color="auto" w:val="clear"/>
          </w:tcPr>
          <w:p>
            <w:pPr>
              <w:spacing w:after="40" w:before="40" w:line="240" w:lineRule="auto"/>
            </w:pPr>
            <w:r>
              <w:rPr>
                <w:rFonts w:ascii="Arial" w:cs="Arial" w:eastAsia="Arial" w:hAnsi="Arial"/>
                <w:b/>
                <w:bCs/>
                <w:sz w:val="18"/>
                <w:szCs w:val="18"/>
              </w:rPr>
              <w:t xml:space="preserve">Agente</w:t>
            </w:r>
          </w:p>
        </w:tc>
        <w:tc>
          <w:tcPr>
            <w:tcW w:type="auto" w:w="0"/>
            <w:shd w:fill="D9D9D9" w:color="auto" w:val="clear"/>
          </w:tcPr>
          <w:p>
            <w:pPr>
              <w:spacing w:after="40" w:before="40" w:line="240" w:lineRule="auto"/>
            </w:pPr>
            <w:r>
              <w:rPr>
                <w:rFonts w:ascii="Arial" w:cs="Arial" w:eastAsia="Arial" w:hAnsi="Arial"/>
                <w:b/>
                <w:bCs/>
                <w:sz w:val="18"/>
                <w:szCs w:val="18"/>
              </w:rPr>
              <w:t xml:space="preserve">Función principal</w:t>
            </w:r>
          </w:p>
        </w:tc>
      </w:tr>
      <w:tr>
        <w:tc>
          <w:tcPr>
            <w:tcW w:type="auto" w:w="0"/>
          </w:tcPr>
          <w:p>
            <w:pPr>
              <w:spacing w:after="40" w:before="40" w:line="240" w:lineRule="auto"/>
            </w:pPr>
            <w:r>
              <w:rPr>
                <w:rFonts w:ascii="Arial" w:cs="Arial" w:eastAsia="Arial" w:hAnsi="Arial"/>
                <w:b w:val="false"/>
                <w:bCs w:val="false"/>
                <w:sz w:val="18"/>
                <w:szCs w:val="18"/>
              </w:rPr>
              <w:t xml:space="preserve">Capa 0</w:t>
            </w:r>
          </w:p>
        </w:tc>
        <w:tc>
          <w:tcPr>
            <w:tcW w:type="auto" w:w="0"/>
          </w:tcPr>
          <w:p>
            <w:pPr>
              <w:spacing w:after="40" w:before="40" w:line="240" w:lineRule="auto"/>
            </w:pPr>
            <w:r>
              <w:rPr>
                <w:rFonts w:ascii="Arial" w:cs="Arial" w:eastAsia="Arial" w:hAnsi="Arial"/>
                <w:b w:val="false"/>
                <w:bCs w:val="false"/>
                <w:sz w:val="18"/>
                <w:szCs w:val="18"/>
              </w:rPr>
              <w:t xml:space="preserve">Agente 0: Verificador Previo</w:t>
            </w:r>
          </w:p>
        </w:tc>
        <w:tc>
          <w:tcPr>
            <w:tcW w:type="auto" w:w="0"/>
          </w:tcPr>
          <w:p>
            <w:pPr>
              <w:spacing w:after="40" w:before="40" w:line="240" w:lineRule="auto"/>
            </w:pPr>
            <w:r>
              <w:rPr>
                <w:rFonts w:ascii="Arial" w:cs="Arial" w:eastAsia="Arial" w:hAnsi="Arial"/>
                <w:b w:val="false"/>
                <w:bCs w:val="false"/>
                <w:sz w:val="18"/>
                <w:szCs w:val="18"/>
              </w:rPr>
              <w:t xml:space="preserve">Checklist de insumos antes del pipeline</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1: Investigador</w:t>
            </w:r>
          </w:p>
        </w:tc>
        <w:tc>
          <w:tcPr>
            <w:tcW w:type="auto" w:w="0"/>
          </w:tcPr>
          <w:p>
            <w:pPr>
              <w:spacing w:after="40" w:before="40" w:line="240" w:lineRule="auto"/>
            </w:pPr>
            <w:r>
              <w:rPr>
                <w:rFonts w:ascii="Arial" w:cs="Arial" w:eastAsia="Arial" w:hAnsi="Arial"/>
                <w:b w:val="false"/>
                <w:bCs w:val="false"/>
                <w:sz w:val="18"/>
                <w:szCs w:val="18"/>
              </w:rPr>
              <w:t xml:space="preserve">Búsqueda y síntesis de literatura</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2: Metodólogo</w:t>
            </w:r>
          </w:p>
        </w:tc>
        <w:tc>
          <w:tcPr>
            <w:tcW w:type="auto" w:w="0"/>
          </w:tcPr>
          <w:p>
            <w:pPr>
              <w:spacing w:after="40" w:before="40" w:line="240" w:lineRule="auto"/>
            </w:pPr>
            <w:r>
              <w:rPr>
                <w:rFonts w:ascii="Arial" w:cs="Arial" w:eastAsia="Arial" w:hAnsi="Arial"/>
                <w:b w:val="false"/>
                <w:bCs w:val="false"/>
                <w:sz w:val="18"/>
                <w:szCs w:val="18"/>
              </w:rPr>
              <w:t xml:space="preserve">Marco metodológico</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3: Analista</w:t>
            </w:r>
          </w:p>
        </w:tc>
        <w:tc>
          <w:tcPr>
            <w:tcW w:type="auto" w:w="0"/>
          </w:tcPr>
          <w:p>
            <w:pPr>
              <w:spacing w:after="40" w:before="40" w:line="240" w:lineRule="auto"/>
            </w:pPr>
            <w:r>
              <w:rPr>
                <w:rFonts w:ascii="Arial" w:cs="Arial" w:eastAsia="Arial" w:hAnsi="Arial"/>
                <w:b w:val="false"/>
                <w:bCs w:val="false"/>
                <w:sz w:val="18"/>
                <w:szCs w:val="18"/>
              </w:rPr>
              <w:t xml:space="preserve">Procesamiento de datos</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4: Redactor</w:t>
            </w:r>
          </w:p>
        </w:tc>
        <w:tc>
          <w:tcPr>
            <w:tcW w:type="auto" w:w="0"/>
          </w:tcPr>
          <w:p>
            <w:pPr>
              <w:spacing w:after="40" w:before="40" w:line="240" w:lineRule="auto"/>
            </w:pPr>
            <w:r>
              <w:rPr>
                <w:rFonts w:ascii="Arial" w:cs="Arial" w:eastAsia="Arial" w:hAnsi="Arial"/>
                <w:b w:val="false"/>
                <w:bCs w:val="false"/>
                <w:sz w:val="18"/>
                <w:szCs w:val="18"/>
              </w:rPr>
              <w:t xml:space="preserve">Escritura académica IMRAD</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5: Revisor</w:t>
            </w:r>
          </w:p>
        </w:tc>
        <w:tc>
          <w:tcPr>
            <w:tcW w:type="auto" w:w="0"/>
          </w:tcPr>
          <w:p>
            <w:pPr>
              <w:spacing w:after="40" w:before="40" w:line="240" w:lineRule="auto"/>
            </w:pPr>
            <w:r>
              <w:rPr>
                <w:rFonts w:ascii="Arial" w:cs="Arial" w:eastAsia="Arial" w:hAnsi="Arial"/>
                <w:b w:val="false"/>
                <w:bCs w:val="false"/>
                <w:sz w:val="18"/>
                <w:szCs w:val="18"/>
              </w:rPr>
              <w:t xml:space="preserve">Coherencia interna</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6: Editor</w:t>
            </w:r>
          </w:p>
        </w:tc>
        <w:tc>
          <w:tcPr>
            <w:tcW w:type="auto" w:w="0"/>
          </w:tcPr>
          <w:p>
            <w:pPr>
              <w:spacing w:after="40" w:before="40" w:line="240" w:lineRule="auto"/>
            </w:pPr>
            <w:r>
              <w:rPr>
                <w:rFonts w:ascii="Arial" w:cs="Arial" w:eastAsia="Arial" w:hAnsi="Arial"/>
                <w:b w:val="false"/>
                <w:bCs w:val="false"/>
                <w:sz w:val="18"/>
                <w:szCs w:val="18"/>
              </w:rPr>
              <w:t xml:space="preserve">Formato de revista objetivo</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7: Humanizador</w:t>
            </w:r>
          </w:p>
        </w:tc>
        <w:tc>
          <w:tcPr>
            <w:tcW w:type="auto" w:w="0"/>
          </w:tcPr>
          <w:p>
            <w:pPr>
              <w:spacing w:after="40" w:before="40" w:line="240" w:lineRule="auto"/>
            </w:pPr>
            <w:r>
              <w:rPr>
                <w:rFonts w:ascii="Arial" w:cs="Arial" w:eastAsia="Arial" w:hAnsi="Arial"/>
                <w:b w:val="false"/>
                <w:bCs w:val="false"/>
                <w:sz w:val="18"/>
                <w:szCs w:val="18"/>
              </w:rPr>
              <w:t xml:space="preserve">Eliminación de patrones artificiales</w:t>
            </w:r>
          </w:p>
        </w:tc>
      </w:tr>
      <w:tr>
        <w:tc>
          <w:tcPr>
            <w:tcW w:type="auto" w:w="0"/>
          </w:tcPr>
          <w:p>
            <w:pPr>
              <w:spacing w:after="40" w:before="40" w:line="240" w:lineRule="auto"/>
            </w:pPr>
            <w:r>
              <w:rPr>
                <w:rFonts w:ascii="Arial" w:cs="Arial" w:eastAsia="Arial" w:hAnsi="Arial"/>
                <w:b w:val="false"/>
                <w:bCs w:val="false"/>
                <w:sz w:val="18"/>
                <w:szCs w:val="18"/>
              </w:rPr>
              <w:t xml:space="preserve">Capa 1</w:t>
            </w:r>
          </w:p>
        </w:tc>
        <w:tc>
          <w:tcPr>
            <w:tcW w:type="auto" w:w="0"/>
          </w:tcPr>
          <w:p>
            <w:pPr>
              <w:spacing w:after="40" w:before="40" w:line="240" w:lineRule="auto"/>
            </w:pPr>
            <w:r>
              <w:rPr>
                <w:rFonts w:ascii="Arial" w:cs="Arial" w:eastAsia="Arial" w:hAnsi="Arial"/>
                <w:b w:val="false"/>
                <w:bCs w:val="false"/>
                <w:sz w:val="18"/>
                <w:szCs w:val="18"/>
              </w:rPr>
              <w:t xml:space="preserve">Agente 8: Director Visual</w:t>
            </w:r>
          </w:p>
        </w:tc>
        <w:tc>
          <w:tcPr>
            <w:tcW w:type="auto" w:w="0"/>
          </w:tcPr>
          <w:p>
            <w:pPr>
              <w:spacing w:after="40" w:before="40" w:line="240" w:lineRule="auto"/>
            </w:pPr>
            <w:r>
              <w:rPr>
                <w:rFonts w:ascii="Arial" w:cs="Arial" w:eastAsia="Arial" w:hAnsi="Arial"/>
                <w:b w:val="false"/>
                <w:bCs w:val="false"/>
                <w:sz w:val="18"/>
                <w:szCs w:val="18"/>
              </w:rPr>
              <w:t xml:space="preserve">Tablas, figuras y presentación</w:t>
            </w:r>
          </w:p>
        </w:tc>
      </w:tr>
      <w:tr>
        <w:tc>
          <w:tcPr>
            <w:tcW w:type="auto" w:w="0"/>
          </w:tcPr>
          <w:p>
            <w:pPr>
              <w:spacing w:after="40" w:before="40" w:line="240" w:lineRule="auto"/>
            </w:pPr>
            <w:r>
              <w:rPr>
                <w:rFonts w:ascii="Arial" w:cs="Arial" w:eastAsia="Arial" w:hAnsi="Arial"/>
                <w:b w:val="false"/>
                <w:bCs w:val="false"/>
                <w:sz w:val="18"/>
                <w:szCs w:val="18"/>
              </w:rPr>
              <w:t xml:space="preserve">Capa 2</w:t>
            </w:r>
          </w:p>
        </w:tc>
        <w:tc>
          <w:tcPr>
            <w:tcW w:type="auto" w:w="0"/>
          </w:tcPr>
          <w:p>
            <w:pPr>
              <w:spacing w:after="40" w:before="40" w:line="240" w:lineRule="auto"/>
            </w:pPr>
            <w:r>
              <w:rPr>
                <w:rFonts w:ascii="Arial" w:cs="Arial" w:eastAsia="Arial" w:hAnsi="Arial"/>
                <w:b w:val="false"/>
                <w:bCs w:val="false"/>
                <w:sz w:val="18"/>
                <w:szCs w:val="18"/>
              </w:rPr>
              <w:t xml:space="preserve">Agente 9: Evaluador de Calidad</w:t>
            </w:r>
          </w:p>
        </w:tc>
        <w:tc>
          <w:tcPr>
            <w:tcW w:type="auto" w:w="0"/>
          </w:tcPr>
          <w:p>
            <w:pPr>
              <w:spacing w:after="40" w:before="40" w:line="240" w:lineRule="auto"/>
            </w:pPr>
            <w:r>
              <w:rPr>
                <w:rFonts w:ascii="Arial" w:cs="Arial" w:eastAsia="Arial" w:hAnsi="Arial"/>
                <w:b w:val="false"/>
                <w:bCs w:val="false"/>
                <w:sz w:val="18"/>
                <w:szCs w:val="18"/>
              </w:rPr>
              <w:t xml:space="preserve">Rigor metodológico (SMID-MA 3.0)</w:t>
            </w:r>
          </w:p>
        </w:tc>
      </w:tr>
      <w:tr>
        <w:tc>
          <w:tcPr>
            <w:tcW w:type="auto" w:w="0"/>
          </w:tcPr>
          <w:p>
            <w:pPr>
              <w:spacing w:after="40" w:before="40" w:line="240" w:lineRule="auto"/>
            </w:pPr>
            <w:r>
              <w:rPr>
                <w:rFonts w:ascii="Arial" w:cs="Arial" w:eastAsia="Arial" w:hAnsi="Arial"/>
                <w:b w:val="false"/>
                <w:bCs w:val="false"/>
                <w:sz w:val="18"/>
                <w:szCs w:val="18"/>
              </w:rPr>
              <w:t xml:space="preserve">Capa 2</w:t>
            </w:r>
          </w:p>
        </w:tc>
        <w:tc>
          <w:tcPr>
            <w:tcW w:type="auto" w:w="0"/>
          </w:tcPr>
          <w:p>
            <w:pPr>
              <w:spacing w:after="40" w:before="40" w:line="240" w:lineRule="auto"/>
            </w:pPr>
            <w:r>
              <w:rPr>
                <w:rFonts w:ascii="Arial" w:cs="Arial" w:eastAsia="Arial" w:hAnsi="Arial"/>
                <w:b w:val="false"/>
                <w:bCs w:val="false"/>
                <w:sz w:val="18"/>
                <w:szCs w:val="18"/>
              </w:rPr>
              <w:t xml:space="preserve">Agente 10: Detector de Vacíos</w:t>
            </w:r>
          </w:p>
        </w:tc>
        <w:tc>
          <w:tcPr>
            <w:tcW w:type="auto" w:w="0"/>
          </w:tcPr>
          <w:p>
            <w:pPr>
              <w:spacing w:after="40" w:before="40" w:line="240" w:lineRule="auto"/>
            </w:pPr>
            <w:r>
              <w:rPr>
                <w:rFonts w:ascii="Arial" w:cs="Arial" w:eastAsia="Arial" w:hAnsi="Arial"/>
                <w:b w:val="false"/>
                <w:bCs w:val="false"/>
                <w:sz w:val="18"/>
                <w:szCs w:val="18"/>
              </w:rPr>
              <w:t xml:space="preserve">Vacíos teóricos y geográficos</w:t>
            </w:r>
          </w:p>
        </w:tc>
      </w:tr>
      <w:tr>
        <w:tc>
          <w:tcPr>
            <w:tcW w:type="auto" w:w="0"/>
          </w:tcPr>
          <w:p>
            <w:pPr>
              <w:spacing w:after="40" w:before="40" w:line="240" w:lineRule="auto"/>
            </w:pPr>
            <w:r>
              <w:rPr>
                <w:rFonts w:ascii="Arial" w:cs="Arial" w:eastAsia="Arial" w:hAnsi="Arial"/>
                <w:b w:val="false"/>
                <w:bCs w:val="false"/>
                <w:sz w:val="18"/>
                <w:szCs w:val="18"/>
              </w:rPr>
              <w:t xml:space="preserve">Capa 2</w:t>
            </w:r>
          </w:p>
        </w:tc>
        <w:tc>
          <w:tcPr>
            <w:tcW w:type="auto" w:w="0"/>
          </w:tcPr>
          <w:p>
            <w:pPr>
              <w:spacing w:after="40" w:before="40" w:line="240" w:lineRule="auto"/>
            </w:pPr>
            <w:r>
              <w:rPr>
                <w:rFonts w:ascii="Arial" w:cs="Arial" w:eastAsia="Arial" w:hAnsi="Arial"/>
                <w:b w:val="false"/>
                <w:bCs w:val="false"/>
                <w:sz w:val="18"/>
                <w:szCs w:val="18"/>
              </w:rPr>
              <w:t xml:space="preserve">Agente 11: Evaluador Scopus/WoS</w:t>
            </w:r>
          </w:p>
        </w:tc>
        <w:tc>
          <w:tcPr>
            <w:tcW w:type="auto" w:w="0"/>
          </w:tcPr>
          <w:p>
            <w:pPr>
              <w:spacing w:after="40" w:before="40" w:line="240" w:lineRule="auto"/>
            </w:pPr>
            <w:r>
              <w:rPr>
                <w:rFonts w:ascii="Arial" w:cs="Arial" w:eastAsia="Arial" w:hAnsi="Arial"/>
                <w:b w:val="false"/>
                <w:bCs w:val="false"/>
                <w:sz w:val="18"/>
                <w:szCs w:val="18"/>
              </w:rPr>
              <w:t xml:space="preserve">Probabilidad de aceptación</w:t>
            </w:r>
          </w:p>
        </w:tc>
      </w:tr>
    </w:tbl>
    <w:p>
      <w:pPr>
        <w:spacing w:after="0" w:before="0" w:line="240" w:lineRule="auto"/>
      </w:pPr>
      <w:r>
        <w:rPr>
          <w:rFonts w:ascii="Arial" w:cs="Arial" w:eastAsia="Arial" w:hAnsi="Arial"/>
          <w:sz w:val="20"/>
          <w:szCs w:val="20"/>
        </w:rPr>
        <w:t xml:space="preserve"/>
      </w:r>
    </w:p>
    <w:p>
      <w:pPr>
        <w:spacing w:after="40" w:before="120" w:line="240" w:lineRule="auto"/>
      </w:pPr>
      <w:r>
        <w:rPr>
          <w:rFonts w:ascii="Arial" w:cs="Arial" w:eastAsia="Arial" w:hAnsi="Arial"/>
          <w:b/>
          <w:bCs/>
          <w:i/>
          <w:iCs/>
          <w:color w:val="000000"/>
          <w:sz w:val="20"/>
          <w:szCs w:val="20"/>
        </w:rPr>
        <w:t xml:space="preserve">3.3. Implementación técnica</w:t>
      </w:r>
    </w:p>
    <w:p>
      <w:pPr>
        <w:spacing w:after="80" w:before="0" w:line="240" w:lineRule="auto"/>
        <w:jc w:val="both"/>
      </w:pPr>
      <w:r>
        <w:rPr>
          <w:rFonts w:ascii="Arial" w:cs="Arial" w:eastAsia="Arial" w:hAnsi="Arial"/>
          <w:b w:val="false"/>
          <w:bCs w:val="false"/>
          <w:i w:val="false"/>
          <w:iCs w:val="false"/>
          <w:color w:val="000000"/>
          <w:sz w:val="20"/>
          <w:szCs w:val="20"/>
        </w:rPr>
        <w:t xml:space="preserve">El orquestador está implementado en Node.js (orchestrator_v3.js) y gestiona la comunicación entre agentes mediante llamadas estructuradas a la API de Anthropic (modelo claude-sonnet-4-6) [3]. Cada agente recibe un prompt sistemático que define su función, sus insumos esperados y su formato de output. El código completo está disponible en https://github.com/msotomayorf-code/sciagent (licencia MIT).</w:t>
      </w:r>
    </w:p>
    <w:p>
      <w:pPr>
        <w:spacing w:after="80" w:before="200" w:line="240" w:lineRule="auto"/>
      </w:pPr>
      <w:r>
        <w:rPr>
          <w:rFonts w:ascii="Arial" w:cs="Arial" w:eastAsia="Arial" w:hAnsi="Arial"/>
          <w:b/>
          <w:bCs/>
          <w:color w:val="000000"/>
          <w:sz w:val="22"/>
          <w:szCs w:val="22"/>
        </w:rPr>
        <w:t xml:space="preserve">4. Protocolo de validación</w:t>
      </w:r>
    </w:p>
    <w:p>
      <w:pPr>
        <w:spacing w:after="80" w:before="0" w:line="240" w:lineRule="auto"/>
        <w:jc w:val="both"/>
      </w:pPr>
      <w:r>
        <w:rPr>
          <w:rFonts w:ascii="Arial" w:cs="Arial" w:eastAsia="Arial" w:hAnsi="Arial"/>
          <w:b w:val="false"/>
          <w:bCs w:val="false"/>
          <w:i w:val="false"/>
          <w:iCs w:val="false"/>
          <w:color w:val="000000"/>
          <w:sz w:val="20"/>
          <w:szCs w:val="20"/>
        </w:rPr>
        <w:t xml:space="preserve">El protocolo opera en cuatro niveles. El primero es la validación de insumos: el Agente 0 verifica que los datos, referencias y el encuadre conceptual estén disponibles y sean de calidad suficiente. El segundo es la validación de coherencia interna: el Agente 5 (Revisor) verifica que el output de cada etapa sea consistente con las etapas anteriores. El tercero es la validación académica: los agentes del SMID-MA 3.0 evalúan el trabajo según estándares de rigor metodológico e identifican vacíos. El cuarto, y más importante, es la validación del investigador: en ningún punto el sistema avanza sin que el investigador haya revisado, aprobado o corregido el output de la etapa anterior.</w:t>
      </w:r>
    </w:p>
    <w:p>
      <w:pPr>
        <w:spacing w:after="80" w:before="200" w:line="240" w:lineRule="auto"/>
      </w:pPr>
      <w:r>
        <w:rPr>
          <w:rFonts w:ascii="Arial" w:cs="Arial" w:eastAsia="Arial" w:hAnsi="Arial"/>
          <w:b/>
          <w:bCs/>
          <w:color w:val="000000"/>
          <w:sz w:val="22"/>
          <w:szCs w:val="22"/>
        </w:rPr>
        <w:t xml:space="preserve">5. Resultados: cinco casos en proceso</w:t>
      </w:r>
    </w:p>
    <w:p>
      <w:pPr>
        <w:spacing w:after="80" w:before="0" w:line="240" w:lineRule="auto"/>
        <w:jc w:val="both"/>
      </w:pPr>
      <w:r>
        <w:rPr>
          <w:rFonts w:ascii="Arial" w:cs="Arial" w:eastAsia="Arial" w:hAnsi="Arial"/>
          <w:b w:val="false"/>
          <w:bCs w:val="false"/>
          <w:i w:val="false"/>
          <w:iCs w:val="false"/>
          <w:color w:val="000000"/>
          <w:sz w:val="20"/>
          <w:szCs w:val="20"/>
        </w:rPr>
        <w:t xml:space="preserve">Los cinco trabajos fueron producidos entre julio y octubre de 2026 usando SciAgent v3. Ninguno ha completado el ciclo de publicación — cuatro están en revisión y uno ha completado la validación interna. Este estado se presenta con precisión porque la honestidad sobre el estado de los trabajos es parte del protocolo de transparencia del sistema.</w:t>
      </w:r>
    </w:p>
    <w:p>
      <w:pPr>
        <w:spacing w:after="40" w:before="120" w:line="240" w:lineRule="auto"/>
      </w:pPr>
      <w:r>
        <w:rPr>
          <w:rFonts w:ascii="Arial" w:cs="Arial" w:eastAsia="Arial" w:hAnsi="Arial"/>
          <w:b/>
          <w:bCs/>
          <w:i/>
          <w:iCs/>
          <w:color w:val="000000"/>
          <w:sz w:val="20"/>
          <w:szCs w:val="20"/>
        </w:rPr>
        <w:t xml:space="preserve">5.1. Artículo de sociología algorítmica: Índice de Curvatura Social (en revisión)</w:t>
      </w:r>
    </w:p>
    <w:p>
      <w:pPr>
        <w:spacing w:after="80" w:before="0" w:line="240" w:lineRule="auto"/>
        <w:jc w:val="both"/>
      </w:pPr>
      <w:r>
        <w:rPr>
          <w:rFonts w:ascii="Arial" w:cs="Arial" w:eastAsia="Arial" w:hAnsi="Arial"/>
          <w:b w:val="false"/>
          <w:bCs w:val="false"/>
          <w:i w:val="false"/>
          <w:iCs w:val="false"/>
          <w:color w:val="000000"/>
          <w:sz w:val="20"/>
          <w:szCs w:val="20"/>
        </w:rPr>
        <w:t xml:space="preserve">El primer trabajo aplica redes neuronales informadas por física (PINNs) a la construcción del Índice de Curvatura Social (ICS), una métrica que modela la exclusión territorial en los 33 distritos rurales de Piura [4]. El ICS promedio es de 0.78, con validación convergente de r = −0.71 con el Índice de Desarrollo Humano y r = 0.68 con el Índice de Necesidades Básicas Insatisfechas. El trabajo ha sido enviado a Formación Universitaria (Q2 Scopus).</w:t>
      </w:r>
    </w:p>
    <w:p>
      <w:pPr>
        <w:spacing w:after="40" w:before="120" w:line="240" w:lineRule="auto"/>
      </w:pPr>
      <w:r>
        <w:rPr>
          <w:rFonts w:ascii="Arial" w:cs="Arial" w:eastAsia="Arial" w:hAnsi="Arial"/>
          <w:b/>
          <w:bCs/>
          <w:i/>
          <w:iCs/>
          <w:color w:val="000000"/>
          <w:sz w:val="20"/>
          <w:szCs w:val="20"/>
        </w:rPr>
        <w:t xml:space="preserve">5.2. Artículo de planeamiento estratégico (en revisión)</w:t>
      </w:r>
    </w:p>
    <w:p>
      <w:pPr>
        <w:spacing w:after="80" w:before="0" w:line="240" w:lineRule="auto"/>
        <w:jc w:val="both"/>
      </w:pPr>
      <w:r>
        <w:rPr>
          <w:rFonts w:ascii="Arial" w:cs="Arial" w:eastAsia="Arial" w:hAnsi="Arial"/>
          <w:b w:val="false"/>
          <w:bCs w:val="false"/>
          <w:i w:val="false"/>
          <w:iCs w:val="false"/>
          <w:color w:val="000000"/>
          <w:sz w:val="20"/>
          <w:szCs w:val="20"/>
        </w:rPr>
        <w:t xml:space="preserve">El segundo trabajo aplica el Índice de Brecha de Implementación (IBI) al Plan de Desarrollo Concertado de Piura 2022-2030 [5]. El hallazgo central es una brecha media del 31%, con variaciones del 18% en infraestructura física al 52% en fortalecimiento institucional.</w:t>
      </w:r>
    </w:p>
    <w:p>
      <w:pPr>
        <w:spacing w:after="40" w:before="120" w:line="240" w:lineRule="auto"/>
      </w:pPr>
      <w:r>
        <w:rPr>
          <w:rFonts w:ascii="Arial" w:cs="Arial" w:eastAsia="Arial" w:hAnsi="Arial"/>
          <w:b/>
          <w:bCs/>
          <w:i/>
          <w:iCs/>
          <w:color w:val="000000"/>
          <w:sz w:val="20"/>
          <w:szCs w:val="20"/>
        </w:rPr>
        <w:t xml:space="preserve">5.3. Artículo de historia política peruana: validado y listo para publicación</w:t>
      </w:r>
    </w:p>
    <w:p>
      <w:pPr>
        <w:spacing w:after="80" w:before="0" w:line="240" w:lineRule="auto"/>
        <w:jc w:val="both"/>
      </w:pPr>
      <w:r>
        <w:rPr>
          <w:rFonts w:ascii="Arial" w:cs="Arial" w:eastAsia="Arial" w:hAnsi="Arial"/>
          <w:b w:val="false"/>
          <w:bCs w:val="false"/>
          <w:i w:val="false"/>
          <w:iCs w:val="false"/>
          <w:color w:val="000000"/>
          <w:sz w:val="20"/>
          <w:szCs w:val="20"/>
        </w:rPr>
        <w:t xml:space="preserve">El tercer trabajo analiza la fractura entre Estado y nación en el Perú desde 1821 hasta 2024, con cinco autores desde cinco disciplinas y 19 referencias verificadas [6, 7]. Es el único de los cinco trabajos que ha completado el ciclo de validación interna.</w:t>
      </w:r>
    </w:p>
    <w:p>
      <w:pPr>
        <w:spacing w:after="40" w:before="120" w:line="240" w:lineRule="auto"/>
      </w:pPr>
      <w:r>
        <w:rPr>
          <w:rFonts w:ascii="Arial" w:cs="Arial" w:eastAsia="Arial" w:hAnsi="Arial"/>
          <w:b/>
          <w:bCs/>
          <w:i/>
          <w:iCs/>
          <w:color w:val="000000"/>
          <w:sz w:val="20"/>
          <w:szCs w:val="20"/>
        </w:rPr>
        <w:t xml:space="preserve">5.4. Tesis de maestría revisada</w:t>
      </w:r>
    </w:p>
    <w:p>
      <w:pPr>
        <w:spacing w:after="80" w:before="0" w:line="240" w:lineRule="auto"/>
        <w:jc w:val="both"/>
      </w:pPr>
      <w:r>
        <w:rPr>
          <w:rFonts w:ascii="Arial" w:cs="Arial" w:eastAsia="Arial" w:hAnsi="Arial"/>
          <w:b w:val="false"/>
          <w:bCs w:val="false"/>
          <w:i w:val="false"/>
          <w:iCs w:val="false"/>
          <w:color w:val="000000"/>
          <w:sz w:val="20"/>
          <w:szCs w:val="20"/>
        </w:rPr>
        <w:t xml:space="preserve">El cuarto trabajo es una tesis sobre estrategias didácticas y entornos virtuales de aprendizaje. El sistema identificó tres problemas estructurales: ausencia de fuentes anteriores a 2010, uso excesivo de una sola fuente en la definición de conceptos, y categorías de análisis subdesarrolladas. El resultado fue un capítulo II con 42 referencias verificadas en APA 7.</w:t>
      </w:r>
    </w:p>
    <w:p>
      <w:pPr>
        <w:spacing w:after="40" w:before="120" w:line="240" w:lineRule="auto"/>
      </w:pPr>
      <w:r>
        <w:rPr>
          <w:rFonts w:ascii="Arial" w:cs="Arial" w:eastAsia="Arial" w:hAnsi="Arial"/>
          <w:b/>
          <w:bCs/>
          <w:i/>
          <w:iCs/>
          <w:color w:val="000000"/>
          <w:sz w:val="20"/>
          <w:szCs w:val="20"/>
        </w:rPr>
        <w:t xml:space="preserve">5.5. Propuesta de Unidad Regional de Prospectiva (en revisión institucional)</w:t>
      </w:r>
    </w:p>
    <w:p>
      <w:pPr>
        <w:spacing w:after="80" w:before="0" w:line="240" w:lineRule="auto"/>
        <w:jc w:val="both"/>
      </w:pPr>
      <w:r>
        <w:rPr>
          <w:rFonts w:ascii="Arial" w:cs="Arial" w:eastAsia="Arial" w:hAnsi="Arial"/>
          <w:b w:val="false"/>
          <w:bCs w:val="false"/>
          <w:i w:val="false"/>
          <w:iCs w:val="false"/>
          <w:color w:val="000000"/>
          <w:sz w:val="20"/>
          <w:szCs w:val="20"/>
        </w:rPr>
        <w:t xml:space="preserve">El quinto trabajo es una propuesta técnica para la creación de la Unidad Regional de Prospectiva del Gobierno Regional de Piura, con presupuesto referencial de S/ 1,298,250. El sistema integró el marco normativo del CEPLAN con el modelo de Singapur en planificación estratégica a largo plazo [8].</w:t>
      </w:r>
    </w:p>
    <w:p>
      <w:pPr>
        <w:spacing w:after="80" w:before="200" w:line="240" w:lineRule="auto"/>
      </w:pPr>
      <w:r>
        <w:rPr>
          <w:rFonts w:ascii="Arial" w:cs="Arial" w:eastAsia="Arial" w:hAnsi="Arial"/>
          <w:b/>
          <w:bCs/>
          <w:color w:val="000000"/>
          <w:sz w:val="22"/>
          <w:szCs w:val="22"/>
        </w:rPr>
        <w:t xml:space="preserve">6. Discusión</w:t>
      </w:r>
    </w:p>
    <w:p>
      <w:pPr>
        <w:spacing w:after="80" w:before="0" w:line="240" w:lineRule="auto"/>
        <w:jc w:val="both"/>
      </w:pPr>
      <w:r>
        <w:rPr>
          <w:rFonts w:ascii="Arial" w:cs="Arial" w:eastAsia="Arial" w:hAnsi="Arial"/>
          <w:b w:val="false"/>
          <w:bCs w:val="false"/>
          <w:i w:val="false"/>
          <w:iCs w:val="false"/>
          <w:color w:val="000000"/>
          <w:sz w:val="20"/>
          <w:szCs w:val="20"/>
        </w:rPr>
        <w:t xml:space="preserve">Los cinco casos comparten un denominador común: la calidad del output es directamente proporcional a la calidad del conocimiento que el investigador aporta al proceso. Cuando el investigador llega con datos verificados, marcos teóricos sólidos y capacidad crítica para detectar errores del sistema, el output es de alto valor académico. Esta observación tiene una implicación directa para la formación de investigadores latinoamericanos: la IA no es un atajo para quien no sabe — es un amplificador para quien ya sabe.</w:t>
      </w:r>
    </w:p>
    <w:p>
      <w:pPr>
        <w:spacing w:after="80" w:before="0" w:line="240" w:lineRule="auto"/>
        <w:jc w:val="both"/>
      </w:pPr>
      <w:r>
        <w:rPr>
          <w:rFonts w:ascii="Arial" w:cs="Arial" w:eastAsia="Arial" w:hAnsi="Arial"/>
          <w:b w:val="false"/>
          <w:bCs w:val="false"/>
          <w:i w:val="false"/>
          <w:iCs w:val="false"/>
          <w:color w:val="000000"/>
          <w:sz w:val="20"/>
          <w:szCs w:val="20"/>
        </w:rPr>
        <w:t xml:space="preserve">Una segunda implicación concierne a la transparencia académica. SciAgent v3 incluye un mecanismo de declaración explícita del uso de IA en todos sus outputs: qué produjo el sistema, qué decidió el investigador, qué datos fueron aportados y cuáles fueron construidos por el modelo. Esa transparencia es una condición de integridad científica, no una concesión a las políticas editoriales.</w:t>
      </w:r>
    </w:p>
    <w:p>
      <w:pPr>
        <w:spacing w:after="80" w:before="200" w:line="240" w:lineRule="auto"/>
      </w:pPr>
      <w:r>
        <w:rPr>
          <w:rFonts w:ascii="Arial" w:cs="Arial" w:eastAsia="Arial" w:hAnsi="Arial"/>
          <w:b/>
          <w:bCs/>
          <w:color w:val="000000"/>
          <w:sz w:val="22"/>
          <w:szCs w:val="22"/>
        </w:rPr>
        <w:t xml:space="preserve">7. Conclusiones</w:t>
      </w:r>
    </w:p>
    <w:p>
      <w:pPr>
        <w:spacing w:after="80" w:before="0" w:line="240" w:lineRule="auto"/>
        <w:jc w:val="both"/>
      </w:pPr>
      <w:r>
        <w:rPr>
          <w:rFonts w:ascii="Arial" w:cs="Arial" w:eastAsia="Arial" w:hAnsi="Arial"/>
          <w:b w:val="false"/>
          <w:bCs w:val="false"/>
          <w:i w:val="false"/>
          <w:iCs w:val="false"/>
          <w:color w:val="000000"/>
          <w:sz w:val="20"/>
          <w:szCs w:val="20"/>
        </w:rPr>
        <w:t xml:space="preserve">SciAgent v3 es una propuesta replicable, documentada y de código abierto para la incorporación de sistemas multiagente en los flujos de trabajo de investigadores latinoamericanos. Puede ejecutarse desde cualquier computador con conexión a internet y acceso a la API de Anthropic, sin infraestructura especializada.</w:t>
      </w:r>
    </w:p>
    <w:p>
      <w:pPr>
        <w:spacing w:after="80" w:before="0" w:line="240" w:lineRule="auto"/>
        <w:jc w:val="both"/>
      </w:pPr>
      <w:r>
        <w:rPr>
          <w:rFonts w:ascii="Arial" w:cs="Arial" w:eastAsia="Arial" w:hAnsi="Arial"/>
          <w:b w:val="false"/>
          <w:bCs w:val="false"/>
          <w:i w:val="false"/>
          <w:iCs w:val="false"/>
          <w:color w:val="000000"/>
          <w:sz w:val="20"/>
          <w:szCs w:val="20"/>
        </w:rPr>
        <w:t xml:space="preserve">La agenda de trabajo abierta por este sistema tiene cinco líneas: (1) validación externa mediante revisión por pares; (2) mejora del Agente 0 para incluir verificación automática de datos; (3) adaptación a otras disciplinas y contextos latinoamericanos; (4) desarrollo de un protocolo de evaluación de outputs aplicable por investigadores externos; y (5) construcción de una comunidad de práctica iberoamericana que comparta experiencias, códigos y protocolos en español.</w:t>
      </w:r>
    </w:p>
    <w:p>
      <w:pPr>
        <w:spacing w:after="80" w:before="200" w:line="240" w:lineRule="auto"/>
      </w:pPr>
      <w:r>
        <w:rPr>
          <w:rFonts w:ascii="Arial" w:cs="Arial" w:eastAsia="Arial" w:hAnsi="Arial"/>
          <w:b/>
          <w:bCs/>
          <w:color w:val="000000"/>
          <w:sz w:val="22"/>
          <w:szCs w:val="22"/>
        </w:rPr>
        <w:t xml:space="preserve">Declaraciones del autor</w:t>
      </w:r>
    </w:p>
    <w:p>
      <w:pPr>
        <w:spacing w:after="80" w:before="0" w:line="240" w:lineRule="auto"/>
        <w:jc w:val="both"/>
      </w:pPr>
      <w:r>
        <w:rPr>
          <w:rFonts w:ascii="Arial" w:cs="Arial" w:eastAsia="Arial" w:hAnsi="Arial"/>
          <w:b w:val="false"/>
          <w:bCs w:val="false"/>
          <w:i w:val="false"/>
          <w:iCs w:val="false"/>
          <w:color w:val="000000"/>
          <w:sz w:val="20"/>
          <w:szCs w:val="20"/>
        </w:rPr>
        <w:t xml:space="preserve">Financiamiento: Este trabajo no recibió financiamiento externo.</w:t>
      </w:r>
    </w:p>
    <w:p>
      <w:pPr>
        <w:spacing w:after="80" w:before="0" w:line="240" w:lineRule="auto"/>
        <w:jc w:val="both"/>
      </w:pPr>
      <w:r>
        <w:rPr>
          <w:rFonts w:ascii="Arial" w:cs="Arial" w:eastAsia="Arial" w:hAnsi="Arial"/>
          <w:b w:val="false"/>
          <w:bCs w:val="false"/>
          <w:i w:val="false"/>
          <w:iCs w:val="false"/>
          <w:color w:val="000000"/>
          <w:sz w:val="20"/>
          <w:szCs w:val="20"/>
        </w:rPr>
        <w:t xml:space="preserve">Conflicto de intereses: El autor declara no tener conflicto de intereses.</w:t>
      </w:r>
    </w:p>
    <w:p>
      <w:pPr>
        <w:spacing w:after="80" w:before="0" w:line="240" w:lineRule="auto"/>
        <w:jc w:val="both"/>
      </w:pPr>
      <w:r>
        <w:rPr>
          <w:rFonts w:ascii="Arial" w:cs="Arial" w:eastAsia="Arial" w:hAnsi="Arial"/>
          <w:b w:val="false"/>
          <w:bCs w:val="false"/>
          <w:i w:val="false"/>
          <w:iCs w:val="false"/>
          <w:color w:val="000000"/>
          <w:sz w:val="20"/>
          <w:szCs w:val="20"/>
        </w:rPr>
        <w:t xml:space="preserve">Uso de inteligencia artificial: Este artículo fue producido usando SciAgent v3, el sistema multiagente desarrollado por el propio autor. El investigador dirigió todas las decisiones metodológicas, aportó los datos y marcos teóricos, y validó cada sección del documento. El sistema ejecutó las tareas de procesamiento y redacción bajo supervisión del investigador. Esta declaración sigue las guías de transparencia sobre IA de la International Association for Information and Knowledge (2025).</w:t>
      </w:r>
    </w:p>
    <w:p>
      <w:pPr>
        <w:spacing w:after="80" w:before="0" w:line="240" w:lineRule="auto"/>
        <w:jc w:val="both"/>
      </w:pPr>
      <w:r>
        <w:rPr>
          <w:rFonts w:ascii="Arial" w:cs="Arial" w:eastAsia="Arial" w:hAnsi="Arial"/>
          <w:b w:val="false"/>
          <w:bCs w:val="false"/>
          <w:i w:val="false"/>
          <w:iCs w:val="false"/>
          <w:color w:val="000000"/>
          <w:sz w:val="20"/>
          <w:szCs w:val="20"/>
        </w:rPr>
        <w:t xml:space="preserve">Disponibilidad de datos: El código fuente de SciAgent v3 está disponible en https://github.com/msotomayorf-code/sciagent (licencia MIT). Los datos de los 33 distritos de Piura utilizados en el artículo del ICS están disponibles bajo solicitud al autor.</w:t>
      </w:r>
    </w:p>
    <w:p>
      <w:pPr>
        <w:spacing w:after="80" w:before="200" w:line="240" w:lineRule="auto"/>
      </w:pPr>
      <w:r>
        <w:rPr>
          <w:rFonts w:ascii="Arial" w:cs="Arial" w:eastAsia="Arial" w:hAnsi="Arial"/>
          <w:b/>
          <w:bCs/>
          <w:color w:val="000000"/>
          <w:sz w:val="22"/>
          <w:szCs w:val="22"/>
        </w:rPr>
        <w:t xml:space="preserve">Referencias</w:t>
      </w:r>
    </w:p>
    <w:p>
      <w:pPr>
        <w:spacing w:after="40" w:before="0" w:line="240" w:lineRule="auto"/>
        <w:ind w:left="360" w:hanging="360"/>
        <w:jc w:val="both"/>
      </w:pPr>
      <w:r>
        <w:rPr>
          <w:rFonts w:ascii="Arial" w:cs="Arial" w:eastAsia="Arial" w:hAnsi="Arial"/>
          <w:sz w:val="18"/>
          <w:szCs w:val="18"/>
        </w:rPr>
        <w:t xml:space="preserve">[1] 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40" w:before="0" w:line="240" w:lineRule="auto"/>
        <w:ind w:left="360" w:hanging="360"/>
        <w:jc w:val="both"/>
      </w:pPr>
      <w:r>
        <w:rPr>
          <w:rFonts w:ascii="Arial" w:cs="Arial" w:eastAsia="Arial" w:hAnsi="Arial"/>
          <w:sz w:val="18"/>
          <w:szCs w:val="18"/>
        </w:rPr>
        <w:t xml:space="preserve">[2] Luckin, R. (2018). Machine learning and human intelligence: The future of education for the 21st century. UCL Institute of Education Press.</w:t>
      </w:r>
    </w:p>
    <w:p>
      <w:pPr>
        <w:spacing w:after="40" w:before="0" w:line="240" w:lineRule="auto"/>
        <w:ind w:left="360" w:hanging="360"/>
        <w:jc w:val="both"/>
      </w:pPr>
      <w:r>
        <w:rPr>
          <w:rFonts w:ascii="Arial" w:cs="Arial" w:eastAsia="Arial" w:hAnsi="Arial"/>
          <w:sz w:val="18"/>
          <w:szCs w:val="18"/>
        </w:rPr>
        <w:t xml:space="preserve">[3] Anthropic (2026). Claude: AI assistant (claude-sonnet-4-6). Anthropic PBC. https://www.anthropic.com</w:t>
      </w:r>
    </w:p>
    <w:p>
      <w:pPr>
        <w:spacing w:after="40" w:before="0" w:line="240" w:lineRule="auto"/>
        <w:ind w:left="360" w:hanging="360"/>
        <w:jc w:val="both"/>
      </w:pPr>
      <w:r>
        <w:rPr>
          <w:rFonts w:ascii="Arial" w:cs="Arial" w:eastAsia="Arial" w:hAnsi="Arial"/>
          <w:sz w:val="18"/>
          <w:szCs w:val="18"/>
        </w:rPr>
        <w:t xml:space="preserve">[4] Raissi, M., Perdikaris, P. y Karniadakis, G. E. (2019). Physics-informed neural networks. Journal of Computational Physics, 378, 686-707. https://doi.org/10.1016/j.jcp.2018.10.045</w:t>
      </w:r>
    </w:p>
    <w:p>
      <w:pPr>
        <w:spacing w:after="40" w:before="0" w:line="240" w:lineRule="auto"/>
        <w:ind w:left="360" w:hanging="360"/>
        <w:jc w:val="both"/>
      </w:pPr>
      <w:r>
        <w:rPr>
          <w:rFonts w:ascii="Arial" w:cs="Arial" w:eastAsia="Arial" w:hAnsi="Arial"/>
          <w:sz w:val="18"/>
          <w:szCs w:val="18"/>
        </w:rPr>
        <w:t xml:space="preserve">[5] CEPLAN (2024). Guía para la elaboración de indicadores de políticas nacionales y planes estratégicos. Centro Nacional de Planeamiento Estratégico. https://www.ceplan.gob.pe</w:t>
      </w:r>
    </w:p>
    <w:p>
      <w:pPr>
        <w:spacing w:after="40" w:before="0" w:line="240" w:lineRule="auto"/>
        <w:ind w:left="360" w:hanging="360"/>
        <w:jc w:val="both"/>
      </w:pPr>
      <w:r>
        <w:rPr>
          <w:rFonts w:ascii="Arial" w:cs="Arial" w:eastAsia="Arial" w:hAnsi="Arial"/>
          <w:sz w:val="18"/>
          <w:szCs w:val="18"/>
        </w:rPr>
        <w:t xml:space="preserve">[6] Alvarado Dodero, F. (2017). Los conceptos virreinato y colonia en el sujeto histórico Perú. Tesis doctoral, Universidad Pablo de Olavide, Sevilla.</w:t>
      </w:r>
    </w:p>
    <w:p>
      <w:pPr>
        <w:spacing w:after="40" w:before="0" w:line="240" w:lineRule="auto"/>
        <w:ind w:left="360" w:hanging="360"/>
        <w:jc w:val="both"/>
      </w:pPr>
      <w:r>
        <w:rPr>
          <w:rFonts w:ascii="Arial" w:cs="Arial" w:eastAsia="Arial" w:hAnsi="Arial"/>
          <w:sz w:val="18"/>
          <w:szCs w:val="18"/>
        </w:rPr>
        <w:t xml:space="preserve">[7] O'Phelan Godoy, S. (2012). La independencia del Perú: De los Borbones a Bolívar. IEP.</w:t>
      </w:r>
    </w:p>
    <w:p>
      <w:pPr>
        <w:spacing w:after="40" w:before="0" w:line="240" w:lineRule="auto"/>
        <w:ind w:left="360" w:hanging="360"/>
        <w:jc w:val="both"/>
      </w:pPr>
      <w:r>
        <w:rPr>
          <w:rFonts w:ascii="Arial" w:cs="Arial" w:eastAsia="Arial" w:hAnsi="Arial"/>
          <w:sz w:val="18"/>
          <w:szCs w:val="18"/>
        </w:rPr>
        <w:t xml:space="preserve">[8] Park, J., O'Brien, J., Cai, C., Morris, M., Liang, P. y Goodman, N. (2023). Generative agents: Interactive simulacra of human behavior. Proceedings of the 36th Annual ACM Symposium on User Interface Software and Technology, 1-22. https://doi.org/10.1145/3586183.3606763</w:t>
      </w:r>
    </w:p>
    <w:p>
      <w:pPr>
        <w:spacing w:after="40" w:before="0" w:line="240" w:lineRule="auto"/>
        <w:ind w:left="360" w:hanging="360"/>
        <w:jc w:val="both"/>
      </w:pPr>
      <w:r>
        <w:rPr>
          <w:rFonts w:ascii="Arial" w:cs="Arial" w:eastAsia="Arial" w:hAnsi="Arial"/>
          <w:sz w:val="18"/>
          <w:szCs w:val="18"/>
        </w:rPr>
        <w:t xml:space="preserve">[9] Lave, J. y Wenger, E. (1991). Situated learning: Legitimate peripheral participation. Cambridge University Press.</w:t>
      </w:r>
    </w:p>
    <w:p>
      <w:pPr>
        <w:spacing w:after="40" w:before="0" w:line="240" w:lineRule="auto"/>
        <w:ind w:left="360" w:hanging="360"/>
        <w:jc w:val="both"/>
      </w:pPr>
      <w:r>
        <w:rPr>
          <w:rFonts w:ascii="Arial" w:cs="Arial" w:eastAsia="Arial" w:hAnsi="Arial"/>
          <w:sz w:val="18"/>
          <w:szCs w:val="18"/>
        </w:rPr>
        <w:t xml:space="preserve">[10] Dargent, E. (2012). El Estado en el Perú: Una agenda de investigación. Debates en Sociología, 37, 181-198.</w:t>
      </w:r>
    </w:p>
    <w:p>
      <w:pPr>
        <w:spacing w:after="40" w:before="0" w:line="240" w:lineRule="auto"/>
        <w:ind w:left="360" w:hanging="360"/>
        <w:jc w:val="both"/>
      </w:pPr>
      <w:r>
        <w:rPr>
          <w:rFonts w:ascii="Arial" w:cs="Arial" w:eastAsia="Arial" w:hAnsi="Arial"/>
          <w:sz w:val="18"/>
          <w:szCs w:val="18"/>
        </w:rPr>
        <w:t xml:space="preserve">[11] MEF (2025). Consulta Amigable — Ejecución del Gasto, Región Piura 2022-2025. Ministerio de Economía y Finanzas. https://apps5.mineco.gob.pe/transparencia/Navegador</w:t>
      </w:r>
    </w:p>
    <w:p>
      <w:pPr>
        <w:spacing w:after="40" w:before="0" w:line="240" w:lineRule="auto"/>
        <w:ind w:left="360" w:hanging="360"/>
        <w:jc w:val="both"/>
      </w:pPr>
      <w:r>
        <w:rPr>
          <w:rFonts w:ascii="Arial" w:cs="Arial" w:eastAsia="Arial" w:hAnsi="Arial"/>
          <w:sz w:val="18"/>
          <w:szCs w:val="18"/>
        </w:rPr>
        <w:t xml:space="preserve">[12] Sotomayor-Fernández, M. J. (2026). De usuario a arquitecto: cómo un investigador social construyó un sistema multiagente para producción científica sin saber programar (v3.0.0). Zenodo. https://doi.org/10.5281/zenodo.23285905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2026-10-12T23:23:09.681Z</dcterms:created>
  <dcterms:modified xsi:type="dcterms:W3CDTF">2026-10-12T23:23:09.689Z</dcterms:modified>
</cp:coreProperties>
</file>

<file path=docProps/custom.xml><?xml version="1.0" encoding="utf-8"?>
<Properties xmlns="http://schemas.openxmlformats.org/officeDocument/2006/custom-properties" xmlns:vt="http://schemas.openxmlformats.org/officeDocument/2006/docPropsVTypes"/>
</file>