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60" w:before="0" w:line="276"/>
      </w:pPr>
      <w:r>
        <w:rPr>
          <w:rFonts w:ascii="Times New Roman" w:cs="Times New Roman" w:eastAsia="Times New Roman" w:hAnsi="Times New Roman"/>
          <w:sz w:val="24"/>
          <w:szCs w:val="24"/>
        </w:rPr>
        <w:t xml:space="preserve"/>
      </w:r>
    </w:p>
    <w:p>
      <w:pPr>
        <w:spacing w:after="160" w:before="0" w:line="276"/>
        <w:jc w:val="center"/>
      </w:pPr>
      <w:r>
        <w:rPr>
          <w:rFonts w:ascii="Times New Roman" w:cs="Times New Roman" w:eastAsia="Times New Roman" w:hAnsi="Times New Roman"/>
          <w:b/>
          <w:bCs/>
          <w:color w:val="1A2F4A"/>
          <w:sz w:val="40"/>
          <w:szCs w:val="40"/>
        </w:rPr>
        <w:t xml:space="preserve">De usuario a arquitecto:</w:t>
      </w:r>
    </w:p>
    <w:p>
      <w:pPr>
        <w:spacing w:after="240" w:before="0" w:line="276"/>
        <w:jc w:val="center"/>
      </w:pPr>
      <w:r>
        <w:rPr>
          <w:rFonts w:ascii="Times New Roman" w:cs="Times New Roman" w:eastAsia="Times New Roman" w:hAnsi="Times New Roman"/>
          <w:b/>
          <w:bCs/>
          <w:color w:val="1A2F4A"/>
          <w:sz w:val="30"/>
          <w:szCs w:val="30"/>
        </w:rPr>
        <w:t xml:space="preserve">cómo un investigador social construyó un sistema multi-agente para producción científica sin saber programar</w:t>
      </w:r>
    </w:p>
    <w:p>
      <w:pPr>
        <w:spacing w:after="480" w:before="0" w:line="276"/>
      </w:pPr>
      <w:r>
        <w:rPr>
          <w:rFonts w:ascii="Times New Roman" w:cs="Times New Roman" w:eastAsia="Times New Roman" w:hAnsi="Times New Roman"/>
          <w:sz w:val="24"/>
          <w:szCs w:val="24"/>
        </w:rPr>
        <w:t xml:space="preserve"/>
      </w:r>
    </w:p>
    <w:p>
      <w:pPr>
        <w:spacing w:after="80" w:before="0" w:line="276"/>
        <w:jc w:val="center"/>
      </w:pPr>
      <w:r>
        <w:rPr>
          <w:rFonts w:ascii="Times New Roman" w:cs="Times New Roman" w:eastAsia="Times New Roman" w:hAnsi="Times New Roman"/>
          <w:sz w:val="26"/>
          <w:szCs w:val="26"/>
        </w:rPr>
        <w:t xml:space="preserve">Manuel J. Sotomayor-Fernández</w:t>
      </w:r>
    </w:p>
    <w:p>
      <w:pPr>
        <w:spacing w:after="140" w:before="0" w:line="276"/>
        <w:ind/>
        <w:jc w:val="center"/>
      </w:pPr>
      <w:r>
        <w:rPr>
          <w:rFonts w:ascii="Times New Roman" w:cs="Times New Roman" w:eastAsia="Times New Roman" w:hAnsi="Times New Roman"/>
          <w:b w:val="false"/>
          <w:bCs w:val="false"/>
          <w:i w:val="false"/>
          <w:iCs w:val="false"/>
          <w:color w:val="000000"/>
          <w:sz w:val="22"/>
          <w:szCs w:val="22"/>
        </w:rPr>
        <w:t xml:space="preserve">Universidad Tecnológica del Perú (UTP), Sede Piura</w:t>
      </w:r>
    </w:p>
    <w:p>
      <w:pPr>
        <w:spacing w:after="80" w:before="0" w:line="276"/>
        <w:ind/>
        <w:jc w:val="center"/>
      </w:pPr>
      <w:r>
        <w:rPr>
          <w:rFonts w:ascii="Times New Roman" w:cs="Times New Roman" w:eastAsia="Times New Roman" w:hAnsi="Times New Roman"/>
          <w:b w:val="false"/>
          <w:bCs w:val="false"/>
          <w:i w:val="false"/>
          <w:iCs w:val="false"/>
          <w:color w:val="000000"/>
          <w:sz w:val="20"/>
          <w:szCs w:val="20"/>
        </w:rPr>
        <w:t xml:space="preserve">ORCID: 0000-0002-7105-620X</w:t>
      </w:r>
    </w:p>
    <w:p>
      <w:pPr>
        <w:jc w:val="center"/>
      </w:pPr>
      <w:r>
        <w:t xml:space="preserve">DOI: 10.5281/zenodo.23285905 — https://doi.org/10.5281/zenodo.23285905</w:t>
      </w:r>
    </w:p>
    <w:p>
      <w:pPr>
        <w:spacing w:after="960" w:before="0" w:line="276"/>
      </w:pPr>
      <w:r>
        <w:rPr>
          <w:rFonts w:ascii="Times New Roman" w:cs="Times New Roman" w:eastAsia="Times New Roman" w:hAnsi="Times New Roman"/>
          <w:sz w:val="24"/>
          <w:szCs w:val="24"/>
        </w:rPr>
        <w:t xml:space="preserve"/>
      </w:r>
    </w:p>
    <w:p>
      <w:pPr>
        <w:spacing w:after="140" w:before="0" w:line="276"/>
        <w:ind/>
        <w:jc w:val="center"/>
      </w:pPr>
      <w:r>
        <w:rPr>
          <w:rFonts w:ascii="Times New Roman" w:cs="Times New Roman" w:eastAsia="Times New Roman" w:hAnsi="Times New Roman"/>
          <w:b w:val="false"/>
          <w:bCs w:val="false"/>
          <w:i w:val="false"/>
          <w:iCs w:val="false"/>
          <w:color w:val="000000"/>
          <w:sz w:val="22"/>
          <w:szCs w:val="22"/>
        </w:rPr>
        <w:t xml:space="preserve">2026</w:t>
      </w:r>
    </w:p>
    <w:p>
      <w:r>
        <w:br w:type="page"/>
      </w:r>
    </w:p>
    <w:p>
      <w:pPr>
        <w:spacing w:after="480" w:before="0" w:line="276"/>
      </w:pPr>
      <w:r>
        <w:rPr>
          <w:rFonts w:ascii="Times New Roman" w:cs="Times New Roman" w:eastAsia="Times New Roman" w:hAnsi="Times New Roman"/>
          <w:sz w:val="24"/>
          <w:szCs w:val="24"/>
        </w:rPr>
        <w:t xml:space="preserve"/>
      </w:r>
    </w:p>
    <w:p>
      <w:pPr>
        <w:spacing w:after="160" w:before="0" w:line="276"/>
        <w:ind/>
        <w:jc w:val="left"/>
      </w:pPr>
      <w:r>
        <w:rPr>
          <w:rFonts w:ascii="Times New Roman" w:cs="Times New Roman" w:eastAsia="Times New Roman" w:hAnsi="Times New Roman"/>
          <w:b/>
          <w:bCs/>
          <w:i w:val="false"/>
          <w:iCs w:val="false"/>
          <w:color w:val="000000"/>
          <w:sz w:val="26"/>
          <w:szCs w:val="26"/>
        </w:rPr>
        <w:t xml:space="preserve">Dedicatoria</w:t>
      </w:r>
    </w:p>
    <w:p>
      <w:pPr>
        <w:spacing w:after="240" w:before="0" w:line="276"/>
        <w:ind/>
        <w:jc w:val="both"/>
      </w:pPr>
      <w:r>
        <w:rPr>
          <w:rFonts w:ascii="Times New Roman" w:cs="Times New Roman" w:eastAsia="Times New Roman" w:hAnsi="Times New Roman"/>
          <w:b w:val="false"/>
          <w:bCs w:val="false"/>
          <w:i w:val="false"/>
          <w:iCs w:val="false"/>
          <w:color w:val="000000"/>
          <w:sz w:val="24"/>
          <w:szCs w:val="24"/>
        </w:rPr>
        <w:t xml:space="preserve">A mi familia, sostén y compañía en cada etapa de este camino. A mis hijos, por recordarme que el conocimiento solo tiene sentido cuando se comparte. Y de manera muy especial, a mi esposa Amalia Ugarte Quiroz Curo de Sotomayor, cuya paciencia, apoyo y amor han sido la fuerza silenciosa que me permitió avanzar en este proyecto. Este libro también es suyo, porque cada página lleva la huella de su presencia y confianza.</w:t>
      </w:r>
    </w:p>
    <w:p>
      <w:r>
        <w:br w:type="page"/>
      </w:r>
    </w:p>
    <w:p>
      <w:pPr>
        <w:spacing w:after="160" w:before="0" w:line="276"/>
        <w:ind/>
        <w:jc w:val="left"/>
      </w:pPr>
      <w:r>
        <w:rPr>
          <w:rFonts w:ascii="Times New Roman" w:cs="Times New Roman" w:eastAsia="Times New Roman" w:hAnsi="Times New Roman"/>
          <w:b/>
          <w:bCs/>
          <w:i w:val="false"/>
          <w:iCs w:val="false"/>
          <w:color w:val="000000"/>
          <w:sz w:val="26"/>
          <w:szCs w:val="26"/>
        </w:rPr>
        <w:t xml:space="preserve">Agradecimientos académicos</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Deseo expresar mi reconocimiento al Dr. Javier Jaramillo, Doctor en Informática, cuyas valiosas tertulias fueron el punto de partida de este recorrido intelectual. Aunque provengo del campo de las ciencias sociales como sociólogo, esas conversaciones me incentivaron a explorar un terreno completamente nuevo: la inteligencia artificial aplicada a la investigación científica. Su orientación y estímulo despertaron en mí el deseo de conocer y aprender, abriendo un camino que este libro busca compartir.</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Asimismo, extiendo mi gratitud a los maestros y colegas de la Universidad Tecnológica del Perú (UTP), quienes con su acompañamiento académico y sus reflexiones críticas han enriquecido mi proceso formativo. Sus aportes han sido fundamentales para consolidar la perspectiva interdisciplinaria que sostiene este trabajo.</w:t>
      </w:r>
    </w:p>
    <w:p>
      <w:pPr>
        <w:spacing w:after="80" w:before="0" w:line="276"/>
      </w:pPr>
      <w:r>
        <w:rPr>
          <w:rFonts w:ascii="Times New Roman" w:cs="Times New Roman" w:eastAsia="Times New Roman" w:hAnsi="Times New Roman"/>
          <w:sz w:val="24"/>
          <w:szCs w:val="24"/>
        </w:rPr>
        <w:t xml:space="preserve"/>
      </w:r>
    </w:p>
    <w:p>
      <w:pPr>
        <w:spacing w:after="240" w:before="0" w:line="276"/>
        <w:ind/>
        <w:jc w:val="both"/>
      </w:pPr>
      <w:r>
        <w:rPr>
          <w:rFonts w:ascii="Times New Roman" w:cs="Times New Roman" w:eastAsia="Times New Roman" w:hAnsi="Times New Roman"/>
          <w:b w:val="false"/>
          <w:bCs w:val="false"/>
          <w:i w:val="false"/>
          <w:iCs w:val="false"/>
          <w:color w:val="000000"/>
          <w:sz w:val="24"/>
          <w:szCs w:val="24"/>
        </w:rPr>
        <w:t xml:space="preserve">A todos ellos, mi reconocimiento por haber contribuido a que esta experiencia personal se transforme en un aporte académico con vocación colectiva.</w:t>
      </w:r>
    </w:p>
    <w:p>
      <w:r>
        <w:br w:type="page"/>
      </w:r>
    </w:p>
    <w:p>
      <w:pPr>
        <w:spacing w:after="160" w:before="0" w:line="276"/>
        <w:ind/>
        <w:jc w:val="left"/>
      </w:pPr>
      <w:r>
        <w:rPr>
          <w:rFonts w:ascii="Times New Roman" w:cs="Times New Roman" w:eastAsia="Times New Roman" w:hAnsi="Times New Roman"/>
          <w:b/>
          <w:bCs/>
          <w:i w:val="false"/>
          <w:iCs w:val="false"/>
          <w:color w:val="000000"/>
          <w:sz w:val="26"/>
          <w:szCs w:val="26"/>
        </w:rPr>
        <w:t xml:space="preserve">Prefacio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Este libro nace de una experiencia personal que pronto se convirtió en un desafío académico. Como sociólogo y docente universitario, mi formación inicial estuvo siempre vinculada a las ciencias sociales. Sin embargo, las conversaciones con colegas y asesores -- en especial las tertulias con el Dr. Javier Jaramillo, Doctor en Informática -- despertaron en mí la inquietud de explorar un campo completamente nuevo: la inteligencia artificial aplicada a la investigación científica.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recorrido que aquí se presenta no es el de un programador experto, sino el de un investigador que decidió aprender haciendo, enfrentando errores y descubriendo posibilidades. La transición de usuario a arquitecto de procesos multiagente constituye el núcleo de esta obra.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Con el tiempo comprendí que el verdadero valor de este sistema no reside únicamente en su capacidad de generar artículos científicos, sino también en su potencial como revisor académico. La posibilidad de auditar textos, verificar citas, detectar inconsistencias metodológicas y reforzar la transparencia convierte al espacio multiagente en una herramienta crítica para la comunidad científica.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propósito del libro es doble: narrar con transparencia los aciertos y dificultades de esta experiencia, y ofrecer un marco metodológico y crítico que permita a otros investigadores latinoamericanos reflexionar sobre el uso responsable de la IA en la producción y validación científica.</w:t>
      </w:r>
    </w:p>
    <w:p>
      <w:pPr>
        <w:spacing w:after="80" w:before="0" w:line="276"/>
      </w:pPr>
      <w:r>
        <w:rPr>
          <w:rFonts w:ascii="Times New Roman" w:cs="Times New Roman" w:eastAsia="Times New Roman" w:hAnsi="Times New Roman"/>
          <w:sz w:val="24"/>
          <w:szCs w:val="24"/>
        </w:rPr>
        <w:t xml:space="preserve"/>
      </w:r>
    </w:p>
    <w:p>
      <w:pPr>
        <w:spacing w:after="240" w:before="0" w:line="276"/>
        <w:ind/>
        <w:jc w:val="both"/>
      </w:pPr>
      <w:r>
        <w:rPr>
          <w:rFonts w:ascii="Times New Roman" w:cs="Times New Roman" w:eastAsia="Times New Roman" w:hAnsi="Times New Roman"/>
          <w:b w:val="false"/>
          <w:bCs w:val="false"/>
          <w:i w:val="false"/>
          <w:iCs w:val="false"/>
          <w:color w:val="000000"/>
          <w:sz w:val="24"/>
          <w:szCs w:val="24"/>
        </w:rPr>
        <w:t xml:space="preserve">Este libro debe leerse como una invitación: a experimentar, a cuestionar y a construir colectivamente un futuro en el que la inteligencia artificial no solo amplífique el conocimiento humano, sino que también lo audite y fortalezca, asegurando su legitimidad dentro de la comunidad científica.</w:t>
      </w:r>
    </w:p>
    <w:p>
      <w:r>
        <w:br w:type="page"/>
      </w:r>
    </w:p>
    <w:p>
      <w:pPr>
        <w:spacing w:after="160" w:before="0" w:line="276"/>
        <w:ind/>
        <w:jc w:val="left"/>
      </w:pPr>
      <w:r>
        <w:rPr>
          <w:rFonts w:ascii="Times New Roman" w:cs="Times New Roman" w:eastAsia="Times New Roman" w:hAnsi="Times New Roman"/>
          <w:b/>
          <w:bCs/>
          <w:i w:val="false"/>
          <w:iCs w:val="false"/>
          <w:color w:val="000000"/>
          <w:sz w:val="26"/>
          <w:szCs w:val="26"/>
        </w:rPr>
        <w:t xml:space="preserve">Introducción general</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inteligencia artificial ha irrumpido en la vida académica con una fuerza que desafía las fronteras tradicionales del conocimiento. En pocos años, lo que parecía un recurso técnico reservado a la ingeniería se ha convertido en un tema de debate transversal que alcanza la filosofía, la educación, la sociología y la ética. Este libro surge en ese punto de encuentro: donde la mirada social se encuentra con la lógica informacional, y donde el investigador se transforma en arquitecto de procesos cognitivos asistidos por máquinas.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realidad es innegable: la inteligencia artificial ya está aquí y no se va a ir. Por el contrario, seguirá perfeccionándose, expandiendo sus aplicaciones y penetrando cada vez más en la vida académica y profesional. Ante este escenario, la pregunta no es si debemos aceptarla o rechazarla, sino cómo podemos usarla de manera responsable como herramienta de apoyo. La clave está en reconocer que la IA no sustituye al investigador, sino que amplífica su capacidad de análisis, organización y validación.</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obra parte de una experiencia situada: la de un docente e investigador social que decide aprender haciendo, sin formación previa en programación, y que construye un sistema multiagente capaz de producir y revisar artículos científicos. Este gesto -- aprender desde la práctica -- encarna una forma de resistencia intelectual frente a la idea de que la tecnología pertenece solo a los expertos.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Más que un manual técnico, esta obra es una invitación a pensar la ciencia desde la intersección entre lo social y lo informático. La IA, en este sentido, se convierte en un instrumento de apoyo transversal: revisor, organizador y generador de insumos, siempre bajo la dirección crítica del investigador.</w:t>
      </w:r>
    </w:p>
    <w:p>
      <w:pPr>
        <w:spacing w:after="80" w:before="0" w:line="276"/>
      </w:pPr>
      <w:r>
        <w:rPr>
          <w:rFonts w:ascii="Times New Roman" w:cs="Times New Roman" w:eastAsia="Times New Roman" w:hAnsi="Times New Roman"/>
          <w:sz w:val="24"/>
          <w:szCs w:val="24"/>
        </w:rPr>
        <w:t xml:space="preserve"/>
      </w:r>
    </w:p>
    <w:p>
      <w:pPr>
        <w:spacing w:after="120" w:before="0" w:line="276"/>
        <w:ind/>
        <w:jc w:val="left"/>
      </w:pPr>
      <w:r>
        <w:rPr>
          <w:rFonts w:ascii="Times New Roman" w:cs="Times New Roman" w:eastAsia="Times New Roman" w:hAnsi="Times New Roman"/>
          <w:b/>
          <w:bCs/>
          <w:i w:val="false"/>
          <w:iCs w:val="false"/>
          <w:color w:val="000000"/>
          <w:sz w:val="24"/>
          <w:szCs w:val="24"/>
        </w:rPr>
        <w:t xml:space="preserve">Índice</w:t>
      </w:r>
    </w:p>
    <w:p>
      <w:pPr>
        <w:spacing w:after="60" w:before="0" w:line="240"/>
        <w:ind/>
        <w:jc w:val="left"/>
      </w:pPr>
      <w:r>
        <w:rPr>
          <w:rFonts w:ascii="Times New Roman" w:cs="Times New Roman" w:eastAsia="Times New Roman" w:hAnsi="Times New Roman"/>
          <w:b/>
          <w:bCs/>
          <w:color w:val="000000"/>
          <w:sz w:val="22"/>
          <w:szCs w:val="22"/>
        </w:rPr>
        <w:t xml:space="preserve">Secciones Preliminares</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 Dedicatoria</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 Agradecimientos académicos</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 Prefacio</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 Introducción general</w:t>
      </w:r>
    </w:p>
    <w:p>
      <w:pPr>
        <w:spacing w:after="60" w:before="0" w:line="240"/>
        <w:ind/>
        <w:jc w:val="left"/>
      </w:pPr>
      <w:r>
        <w:rPr>
          <w:rFonts w:ascii="Times New Roman" w:cs="Times New Roman" w:eastAsia="Times New Roman" w:hAnsi="Times New Roman"/>
          <w:b/>
          <w:bCs/>
          <w:color w:val="000000"/>
          <w:sz w:val="22"/>
          <w:szCs w:val="22"/>
        </w:rPr>
        <w:t xml:space="preserve">Capítulo 1 – El punto de partida: del asombro al aprendizaje</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1.1 La irrupción de la inteligencia artificial en la academia</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1.2 Primeras aproximaciones desde las ciencias sociales</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1.3 El investigador situado</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1.4 Los desafíos iniciales</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1.5 Objetivo del libro</w:t>
      </w:r>
    </w:p>
    <w:p>
      <w:pPr>
        <w:spacing w:after="60" w:before="0" w:line="240"/>
        <w:ind/>
        <w:jc w:val="left"/>
      </w:pPr>
      <w:r>
        <w:rPr>
          <w:rFonts w:ascii="Times New Roman" w:cs="Times New Roman" w:eastAsia="Times New Roman" w:hAnsi="Times New Roman"/>
          <w:b/>
          <w:bCs/>
          <w:color w:val="000000"/>
          <w:sz w:val="22"/>
          <w:szCs w:val="22"/>
        </w:rPr>
        <w:t xml:space="preserve">Capítulo 2 – Testimonio honesto: aprender haciendo</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2.1 La experiencia inicial con SciAgent</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2.2 Errores, aciertos y aprendizajes</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2.3 La transparencia como valor metodológico</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2.4 Autoría de proceso: dirigir, corregir y asumir responsabilidad</w:t>
      </w:r>
    </w:p>
    <w:p>
      <w:pPr>
        <w:spacing w:after="60" w:before="0" w:line="240"/>
        <w:ind/>
        <w:jc w:val="left"/>
      </w:pPr>
      <w:r>
        <w:rPr>
          <w:rFonts w:ascii="Times New Roman" w:cs="Times New Roman" w:eastAsia="Times New Roman" w:hAnsi="Times New Roman"/>
          <w:b/>
          <w:bCs/>
          <w:color w:val="000000"/>
          <w:sz w:val="22"/>
          <w:szCs w:val="22"/>
        </w:rPr>
        <w:t xml:space="preserve">Capítulo 3 – Protocolo metodológico para sistemas multiagente</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3.1 Riesgos reales: alucinaciones, sesgos y dependencia tecnológica</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3.2 Validación científica: datos aportados vs. construcciones del modelo</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3.3 Replicabilidad responsable: condiciones mínimas</w:t>
      </w:r>
    </w:p>
    <w:p>
      <w:pPr>
        <w:spacing w:after="60" w:before="0" w:line="240"/>
        <w:ind/>
        <w:jc w:val="left"/>
      </w:pPr>
      <w:r>
        <w:rPr>
          <w:rFonts w:ascii="Times New Roman" w:cs="Times New Roman" w:eastAsia="Times New Roman" w:hAnsi="Times New Roman"/>
          <w:b/>
          <w:bCs/>
          <w:color w:val="000000"/>
          <w:sz w:val="22"/>
          <w:szCs w:val="22"/>
        </w:rPr>
        <w:t xml:space="preserve">Capítulo 4 – El sistema como revisor académico</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4.1 De generador a auditor: evolución del propósito</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4.2 Verificación de citas y coherencia metodológica</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4.3 Protocolos de revisión cruzada humano-IA</w:t>
      </w:r>
    </w:p>
    <w:p>
      <w:pPr>
        <w:spacing w:after="60" w:before="0" w:line="240"/>
        <w:ind/>
        <w:jc w:val="left"/>
      </w:pPr>
      <w:r>
        <w:rPr>
          <w:rFonts w:ascii="Times New Roman" w:cs="Times New Roman" w:eastAsia="Times New Roman" w:hAnsi="Times New Roman"/>
          <w:b/>
          <w:bCs/>
          <w:color w:val="000000"/>
          <w:sz w:val="22"/>
          <w:szCs w:val="22"/>
        </w:rPr>
        <w:t xml:space="preserve">Capítulo 5 – Marco crítico y prospectivo</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5.1 Riesgos estructurales: sesgos, privacidad y autoría compartida</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5.2 La autoría de proceso como nuevo paradigma académico</w:t>
      </w:r>
    </w:p>
    <w:p>
      <w:pPr>
        <w:spacing w:after="60" w:before="0" w:line="240"/>
        <w:ind/>
        <w:jc w:val="left"/>
      </w:pPr>
      <w:r>
        <w:rPr>
          <w:rFonts w:ascii="Times New Roman" w:cs="Times New Roman" w:eastAsia="Times New Roman" w:hAnsi="Times New Roman"/>
          <w:b/>
          <w:bCs/>
          <w:color w:val="000000"/>
          <w:sz w:val="22"/>
          <w:szCs w:val="22"/>
        </w:rPr>
        <w:t xml:space="preserve">Capítulo 6 – Aplicaciones prácticas y casos de uso</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6.1 Experiencias en docencia universitaria</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6.2 Uso en investigación aplicada: territorio, prospectiva, cuencas</w:t>
      </w:r>
    </w:p>
    <w:p>
      <w:pPr>
        <w:spacing w:after="60" w:before="0" w:line="240"/>
        <w:ind/>
        <w:jc w:val="left"/>
      </w:pPr>
      <w:r>
        <w:rPr>
          <w:rFonts w:ascii="Times New Roman" w:cs="Times New Roman" w:eastAsia="Times New Roman" w:hAnsi="Times New Roman"/>
          <w:b/>
          <w:bCs/>
          <w:color w:val="000000"/>
          <w:sz w:val="22"/>
          <w:szCs w:val="22"/>
        </w:rPr>
        <w:t xml:space="preserve">Capítulo 7 – Agenda latinoamericana y visión de futuro</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7.1 Brechas tecnológicas y soberanía digital</w:t>
      </w:r>
    </w:p>
    <w:p>
      <w:pPr>
        <w:spacing w:after="60" w:before="0" w:line="240"/>
        <w:ind w:left="480"/>
        <w:jc w:val="left"/>
      </w:pPr>
      <w:r>
        <w:rPr>
          <w:rFonts w:ascii="Times New Roman" w:cs="Times New Roman" w:eastAsia="Times New Roman" w:hAnsi="Times New Roman"/>
          <w:b w:val="false"/>
          <w:bCs w:val="false"/>
          <w:color w:val="000000"/>
          <w:sz w:val="20"/>
          <w:szCs w:val="20"/>
        </w:rPr>
        <w:t xml:space="preserve">7.2 Formación de investigadores del futuro</w:t>
      </w:r>
    </w:p>
    <w:p>
      <w:pPr>
        <w:spacing w:after="60" w:before="0" w:line="240"/>
        <w:ind/>
        <w:jc w:val="left"/>
      </w:pPr>
      <w:r>
        <w:rPr>
          <w:rFonts w:ascii="Times New Roman" w:cs="Times New Roman" w:eastAsia="Times New Roman" w:hAnsi="Times New Roman"/>
          <w:b/>
          <w:bCs/>
          <w:color w:val="000000"/>
          <w:sz w:val="22"/>
          <w:szCs w:val="22"/>
        </w:rPr>
        <w:t xml:space="preserve">Anexos</w:t>
      </w:r>
    </w:p>
    <w:p>
      <w:pPr>
        <w:spacing w:after="60" w:before="0" w:line="240"/>
        <w:ind/>
        <w:jc w:val="left"/>
      </w:pPr>
      <w:r>
        <w:rPr>
          <w:rFonts w:ascii="Times New Roman" w:cs="Times New Roman" w:eastAsia="Times New Roman" w:hAnsi="Times New Roman"/>
          <w:b/>
          <w:bCs/>
          <w:color w:val="000000"/>
          <w:sz w:val="22"/>
          <w:szCs w:val="22"/>
        </w:rPr>
        <w:t xml:space="preserve">Referencias bibliográficas</w:t>
      </w:r>
    </w:p>
    <w:p>
      <w:r>
        <w:br w:type="page"/>
      </w:r>
    </w:p>
    <w:p>
      <w:pPr>
        <w:spacing w:after="200" w:before="400" w:line="276"/>
        <w:jc w:val="left"/>
      </w:pPr>
      <w:r>
        <w:rPr>
          <w:rFonts w:ascii="Times New Roman" w:cs="Times New Roman" w:eastAsia="Times New Roman" w:hAnsi="Times New Roman"/>
          <w:b/>
          <w:bCs/>
          <w:color w:val="000000"/>
          <w:sz w:val="28"/>
          <w:szCs w:val="28"/>
        </w:rPr>
        <w:t xml:space="preserve">Capítulo 1</w:t>
      </w:r>
    </w:p>
    <w:p>
      <w:pPr>
        <w:spacing w:after="240" w:before="0" w:line="276"/>
        <w:jc w:val="left"/>
      </w:pPr>
      <w:r>
        <w:rPr>
          <w:rFonts w:ascii="Times New Roman" w:cs="Times New Roman" w:eastAsia="Times New Roman" w:hAnsi="Times New Roman"/>
          <w:b/>
          <w:bCs/>
          <w:color w:val="1A2F4A"/>
          <w:sz w:val="32"/>
          <w:szCs w:val="32"/>
        </w:rPr>
        <w:t xml:space="preserve">El punto de partida: del asombro al aprendizaje</w:t>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«La IA ya está aquí y no se va a ir. La pregunta no es si usarla o no. La pregunta es cómo la puedo usar para mi práctica docente y profesional.»
Manuel J. Sotomayor-Fernández</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primera reacción frente a la inteligencia artificial fue de asombro. Como sociólogo habituado a trabajar con categorías sociales, teorías críticas y metodologías cualitativas, la idea de que una máquina pudiera redactar textos académicos parecía más un experimento curioso que una herramienta real. Ese asombro inicial, sin embargo, pronto se transformó en inquietud genuina: {&lt;}qué significa para la investigación social que un sistema pueda producir, organizar y revisar conocimiento?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camino comenzó con pruebas simples: pedir a un modelo que redactara párrafos, que resumiera lecturas, que sugiriera bibliografía. Los resultados eran sorprendentes pero también problemáticos. Había errores, citas inventadas y una falta de rigor metodológico que evidenciaba la necesidad de control humano. Fue en ese momento cuando comprendí que la inteligencia artificial no debía verse como sustituto, sino como aliado crítico -- capaz de ampliar la mirada del investigador sin reemplazarla.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Las tertulias con el Dr. Javier Jaramillo, Doctor en Informática, fueron decisivas. En cada conversación, la frontera entre lo social y lo informático se volvía más permeable. Lo que para mí era un terreno desconocido, para él era un espacio lleno de posibilidades técnicas. Poco a poco, esas charlas me indujeron a explorar un tema nuevo, a perder el miedo y a reconocer que el aprendizaje interdisciplinario era no solo posible, sino necesario. La informática dejaba de ser un lenguaje ajeno para convertirse en un puente hacia nuevas formas de investigación.</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aprendizaje fue práctico y artesanal: construir un sistema multiagente, probarlo, equivocarse, corregirlo. No hubo manual previo ni formación técnica formal, solo la convicción de que la investigación social debía dialogar con la informática para no quedar rezagada. Esa convicción se convirtió en motor de este proyecto y en la base de una metodología que combina ensayo y error con reflexión crítica.</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1.1. La irrupción de la inteligencia artificial en la academia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llegada de la inteligencia artificial a la vida académica ha sido vertiginosa. En pocos años, lo que parecía un recurso técnico reservado a la ingeniería se convirtió en un tema transversal que atraviesa todas las disciplinas. La IA no solo redacta textos o procesa datos: cuestiona la manera en que producimos, validamos y compartimos conocimiento.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En la academia, esta irrupción generó reacciones diversas. Por un lado, entusiasmo por las posibilidades de automatizar tareas, acelerar procesos y ampliar la capacidad de análisis. Por otro, preocupación genuina por los riesgos: pérdida de rigor metodológico, proliferación de citas falsas, dependencia excesiva de sistemas opacos. La discusión sobre la autoría, la ética y la reproducibilidad se volvió central (Zawacki-Richter et al., 2019).</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En América Latina, este debate es aún incipiente. La mayoría de universidades y centros de investigación apenas comienzan a explorar cómo integrar la IA en sus prácticas. Rojas y Chiappe (2024) documentaron que la adopción acelerada de herramientas de IA en la investigación universitaria latinoamericana rara vez va acompañada de protocolos críticos de verificación. Esto abre un espacio de oportunidad: pensar desde nuestra región un uso crítico y responsable que construya protocolos propios, adaptados a nuestras realidades institucionales y tecnológicas.</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1.2. Primeras aproximaciones desde las ciencias sociales</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Como sociólogo, mi primera aproximación a la IA estuvo marcada por la curiosidad y la distancia crítica. Las pruebas iniciales revelaron limitaciones graves: citas inventadas, referencias incompletas, argumentos construidos con apariencia de solidez pero sin respaldo empírico. Esa experiencia me obligó a reconocer algo fundamental: la IA no podía ser aceptada sin filtros. Debía ser sometida a un proceso de revisión crítica sistemática, igual que cualquier fuente académica.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Fue en este punto donde las tertulias con el Dr. Javier Jaramillo marcaron un giro decisivo. Sus aportes me ayudaron a comprender que la informática no era un territorio ajeno, sino un lenguaje que podía dialogar con las ciencias sociales. La conclusión fue clara: la IA no debía ser vista como sustituto del investigador, sino como herramienta de apoyo. Su verdadero valor no está únicamente en generar textos, sino en revisarlos, auditarlos y fortalecer su calidad.</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Desde esta perspectiva, la sociología encuentra en la informática un aliado estratégico para ampliar su horizonte metodológico y crítico. No para perder identidad disciplinaria, sino para ganar rigor y nuevas perspectivas en un mundo donde el conocimiento se produce, circula y valida de maneras radicalmente distintas a las de hace una década.</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1.3. El investigador situado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irrupción de la inteligencia artificial no se vive igual en todos los contextos. En mi caso, como investigador social en una universidad peruana en Piura, el acercamiento a la IA estuvo marcado por condiciones propias de la región: acceso limitado a recursos tecnológicos, debates aún incipientes sobre ética digital, conectividad variable -- el proyecto de instalación de banda ancha en Piura alcanza menos del 40% de avance (ComexPerú, 2026) -- y una comunidad académica que recién empieza a explorar estas herramientas.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Este «estar situado» me obligó a reconocer que la IA no podía ser abordada como un fenómeno abstracto, sino como una práctica concreta que debía adaptarse a las realidades locales. La pregunta no era solo cómo usarla, sino cómo hacerlo desde un contexto latinoamericano, con sus desafíos de infraestructura, formación y legitimidad científica. Luckin (2018) advirtió que las tecnologías de IA en educación tienden a reproducir las desigualdades preexistentes si no se diseñan con criterios de equidad desde el inicio. En Piura, esa advertencia no es abstracta: es una condición operativa.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Mi perfil como investigador situado cubre tres décadas de trabajo en desarrollo rural, planificación estratégica, gestión de cuencas hidrográficas, emergencias y desastres, y docencia universitaria. Ese recorrido -- que no incluye ninguna formación en programación -- es precisamente el que hace relevante esta experiencia para otros investigadores latinoamericanos en condiciones similares: la distancia entre el conocimiento disciplinario y la habilidad técnica no es un obstáculo insuperable. Es el punto de partida.</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1.4. Los desafíos iniciales</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Los primeros pasos estuvieron llenos de obstáculos concretos. La falta de formación técnica en programación, la dificultad para comprender la lógica de los algoritmos y la ausencia de manuales claros hicieron que el aprendizaje fuera lento y lleno de errores. Cada intento de usar la IA para producir textos académicos revelaba problemas: citas inventadas, referencias incompletas, argumentos poco sólidos.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Pero esos errores -- lejos de desalentar -- se convirtieron en oportunidades para reflexionar sobre la necesidad de control humano y de protocolos de validación. Comprendí que la IA no podía ser aceptada sin filtros, sino que debía ser sometida a revisión crítica permanente. Lave y Wenger (1991) llaman a esto aprendizaje situado: el conocimiento que emerge de la participación directa en una práctica, no de la observación externa. Cada error fue un paso de ese aprendizaje.</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Hubo un desafío que resultó más valioso que todos los demás: la primera vez que el sistema generó una cita bibliográfica perfectamente formateada en APA 7, con autor real, año plausible, título coherente y DOI aparentemente válido -- que en realidad no existía. Esa experiencia, antes de que el investigador pudiera verificarla, ilustró con claridad el riesgo central de estos sistemas: no es la incompetencia, es la plausibilidad. Un error obvio se corrige fácilmente. Un error convincente puede pasar desapercibido si no hay un investigador con conocimiento disciplinario profundo que lo detecte.</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1.5. El objetivo del libro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De esta experiencia surge el propósito central de este libro: mostrar que la inteligencia artificial puede ser una herramienta de apoyo para la investigación social, siempre que se use con rigor y responsabilidad. El objetivo no es presentar un manual técnico ni un tratado informático, sino narrar un proceso de aprendizaje interdisciplinario y proponer un marco metodológico que permita a otros investigadores latinoamericanos integrar la IA en su práctica académica.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libro busca demostrar que el verdadero valor de la IA no está únicamente en generar textos, sino en revisarlos, auditarlos y fortalecer su calidad. Desde esta perspectiva, la sociología encuentra en la informática un aliado estratégico para ampliar su horizonte metodológico y crítico.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Los siete capítulos que siguen acompañan ese recorrido: del asombro al aprendizaje, del aprendizaje al protocolo, del protocolo a la crítica, de la crítica a la propuesta. Al final del libro, el lector encontrará no solo la historia de un investigador que aprendió a usar la IA, sino un marco metodológico transferible y una agenda de preguntas urgentes para la academia latinoamericana del siglo XXI.</w:t>
      </w:r>
    </w:p>
    <w:p>
      <w:pPr>
        <w:spacing w:after="24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Referencias del capítulo</w:t>
      </w:r>
    </w:p>
    <w:p>
      <w:pPr>
        <w:spacing w:after="60" w:before="0" w:line="276"/>
      </w:pPr>
      <w:r>
        <w:rPr>
          <w:rFonts w:ascii="Times New Roman" w:cs="Times New Roman" w:eastAsia="Times New Roman" w:hAnsi="Times New Roman"/>
          <w:sz w:val="24"/>
          <w:szCs w:val="24"/>
        </w:rPr>
        <w:t xml:space="preserve"/>
      </w:r>
    </w:p>
    <w:p>
      <w:pPr>
        <w:spacing w:after="100" w:before="0" w:line="276"/>
        <w:ind w:left="720" w:hanging="720"/>
        <w:jc w:val="both"/>
      </w:pPr>
      <w:r>
        <w:rPr>
          <w:rFonts w:ascii="Times New Roman" w:cs="Times New Roman" w:eastAsia="Times New Roman" w:hAnsi="Times New Roman"/>
          <w:sz w:val="22"/>
          <w:szCs w:val="22"/>
        </w:rPr>
        <w:t xml:space="preserve">ComexPerú (2026). Conectividad y brecha digital en regiones del Perú: Informe 2025-2026. Sociedad de Comercio Exterior del Perú.</w:t>
      </w:r>
    </w:p>
    <w:p>
      <w:pPr>
        <w:spacing w:after="100" w:before="0" w:line="276"/>
        <w:ind w:left="720" w:hanging="720"/>
        <w:jc w:val="both"/>
      </w:pPr>
      <w:r>
        <w:rPr>
          <w:rFonts w:ascii="Times New Roman" w:cs="Times New Roman" w:eastAsia="Times New Roman" w:hAnsi="Times New Roman"/>
          <w:sz w:val="22"/>
          <w:szCs w:val="22"/>
        </w:rPr>
        <w:t xml:space="preserve">Lave, J. y Wenger, E. (1991). Situated learning: Legitimate peripheral participation. Cambridge University Press.</w:t>
      </w:r>
    </w:p>
    <w:p>
      <w:pPr>
        <w:spacing w:after="100" w:before="0" w:line="276"/>
        <w:ind w:left="720" w:hanging="720"/>
        <w:jc w:val="both"/>
      </w:pPr>
      <w:r>
        <w:rPr>
          <w:rFonts w:ascii="Times New Roman" w:cs="Times New Roman" w:eastAsia="Times New Roman" w:hAnsi="Times New Roman"/>
          <w:sz w:val="22"/>
          <w:szCs w:val="22"/>
        </w:rPr>
        <w:t xml:space="preserve">Luckin, R. (2018). Machine learning and human intelligence: The future of education for the 21st century. UCL Institute of Education Press.</w:t>
      </w:r>
    </w:p>
    <w:p>
      <w:pPr>
        <w:spacing w:after="100" w:before="0" w:line="276"/>
        <w:ind w:left="720" w:hanging="720"/>
        <w:jc w:val="both"/>
      </w:pPr>
      <w:r>
        <w:rPr>
          <w:rFonts w:ascii="Times New Roman" w:cs="Times New Roman" w:eastAsia="Times New Roman" w:hAnsi="Times New Roman"/>
          <w:sz w:val="22"/>
          <w:szCs w:val="22"/>
        </w:rPr>
        <w:t xml:space="preserve">Rojas, C. y Chiappe, A. (2024). Ecosistemas digitales e inteligencia artificial en la educación superior latinoamericana: Reconfiguración de estrategias didácticas. Edutec. Revista Electrónica de Tecnología Educativa, 87, 1-19.</w:t>
      </w:r>
    </w:p>
    <w:p>
      <w:pPr>
        <w:spacing w:after="100" w:before="0" w:line="276"/>
        <w:ind w:left="720" w:hanging="720"/>
        <w:jc w:val="both"/>
      </w:pPr>
      <w:r>
        <w:rPr>
          <w:rFonts w:ascii="Times New Roman" w:cs="Times New Roman" w:eastAsia="Times New Roman" w:hAnsi="Times New Roman"/>
          <w:sz w:val="22"/>
          <w:szCs w:val="22"/>
        </w:rPr>
        <w:t xml:space="preserve">Zawacki-Richter, O., Marín, V. I., Bond, M. y Gouverneur, F. (2019). Systematic review of research on artificial intelligence applications in higher education. International Journal of Educational Technology in Higher Education, 16, 39. https://doi.org/10.1186/s41239-019-0171-0</w:t>
      </w:r>
    </w:p>
    <w:p>
      <w:pPr>
        <w:spacing w:after="320" w:before="0" w:line="276"/>
      </w:pPr>
      <w:r>
        <w:rPr>
          <w:rFonts w:ascii="Times New Roman" w:cs="Times New Roman" w:eastAsia="Times New Roman" w:hAnsi="Times New Roman"/>
          <w:sz w:val="24"/>
          <w:szCs w:val="24"/>
        </w:rPr>
        <w:t xml:space="preserve"/>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Fin del Capítulo 1.
El Capítulo 2 desarrollará: Testimonio honesto — aprender haciendo.
Espero sus observaciones para continuar.</w:t>
      </w:r>
    </w:p>
    <w:sectPr>
      <w:pgSz w:w="11906" w:h="16838" w:orient="portrait"/>
      <w:pgMar w:top="1440" w:right="1440" w:bottom="1440" w:left="1701" w:header="708" w:footer="708" w:gutter="0"/>
      <w:pgNumType/>
      <w:docGrid w:linePitch="360"/>
    </w:sectPr>
    <w:p>
      <w:r>
        <w:br w:type="page"/>
      </w:r>
    </w:p>
    <w:p>
      <w:pPr>
        <w:spacing w:after="200" w:before="400" w:line="276"/>
        <w:jc w:val="left"/>
      </w:pPr>
      <w:r>
        <w:rPr>
          <w:rFonts w:ascii="Times New Roman" w:cs="Times New Roman" w:eastAsia="Times New Roman" w:hAnsi="Times New Roman"/>
          <w:b/>
          <w:bCs/>
          <w:color w:val="000000"/>
          <w:sz w:val="28"/>
          <w:szCs w:val="28"/>
        </w:rPr>
        <w:t xml:space="preserve">Capítulo 2</w:t>
      </w:r>
    </w:p>
    <w:p>
      <w:pPr>
        <w:spacing w:after="240" w:before="0" w:line="276"/>
        <w:jc w:val="left"/>
      </w:pPr>
      <w:r>
        <w:rPr>
          <w:rFonts w:ascii="Times New Roman" w:cs="Times New Roman" w:eastAsia="Times New Roman" w:hAnsi="Times New Roman"/>
          <w:b/>
          <w:bCs/>
          <w:color w:val="1A2F4A"/>
          <w:sz w:val="32"/>
          <w:szCs w:val="32"/>
        </w:rPr>
        <w:t xml:space="preserve">Testimonio honesto: aprender haciendo</w:t>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«Empecé viendo videos. Después empecé a conversar con Claude. Eso es todo lo que tenía cuando comenzó este proceso.»
Manuel J. Sotomayor-Fernández</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Hay cosas que no se aprenden en los libros. Hay cosas que solo se aprenden haciéndolas, equivocándose, volviendo a intentarlo. Este capítulo es el relato de eso: de lo que pasó cuando decidí dejar de observar la inteligencia artificial desde afuera y empecé a construir con ella desde adentro.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No voy a contar solo los éxitos. Si solo contara los éxitos, este capítulo mentiría. Voy a contar también los errores -- el git que no funcionaba, el artículo que salió sin metodología, las tildes que desaparecieron. Porque esos errores no son el reverso del aprendizaje. Son el aprendizaje mismo.</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2.1. La experiencia inicial con SciAgent</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Todo comenzó con una pregunta sencilla: {&lt;}cómo puedo usar la IA para producir artículos científicos? No como experimento, sino como práctica real. Como investigador con publicaciones en marcha, con temas que conozco profundamente y con la pretensión de que el resultado fuera publicable en una revista indexada.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respuesta no fue descargar una herramienta ni suscribirse a un servicio. Fue diseñar un sistema. SciAgent nació así: no como un producto encontrado, sino como una construcción propia. Un sistema de agentes especializados, cada uno con una función específica dentro del proceso de producción académica.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En su versión final, SciAgent tiene doce agentes. El Agente 0 -- que no existía al principio y nació precisamente de los errores que este capítulo describe -- es el Verificador Previo: el que revisa, antes de que todo lo demás comience, que el investigador ha preparado lo que el sistema no puede inventar. Los agentes 1 al 8 son el pipeline de producción: Investigador, Metódólogo, Analista, Redactor, Revisor, Editor, Humanizador y Director Visual. Los agentes 9, 10 y 11 conforman el SMID-MA 3.0 -- Sistema Maestro de Investigación Doctoral Multiagente -- que evalúa la calidad del artículo, detecta los vacíos científicos y emite el dictamen editorial con la revista objetivo, el cuartil Scopus y la estrategia de envío.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En una sola sesión de trabajo, ese sistema produjo tres artículos científicos completos, cinco figuras académicas vectoriales, dos conjuntos de anexos y el código fuente publicado en GitHub (https://github.com/msotomayorf-code/sciagent). Los archivos existen. Las fechas de creación son públicas. Eso no es una afirmación: es verificable.</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2.2. Los errores: lo que salió mal y lo que enseñó</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Podría omitir esta sección. Podría ir directamente a los resultados y dejar que el lector imagine que el proceso fue limpio y eficiente. No lo voy a hacer. Los errores son la parte más honest del libro y, probablemente, la más útil para quien quiera replicar este proceso.</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El git que no funcionaba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primer error llegó cuando intenté subir el código a GitHub. El cmd de Windows respondió con un mensaje que no deja margen a la interpretación: «git no se reconoce como un comando interno o externo».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Git no estaba instalado. No tenía ninguna razón para estarlo -- nunca lo había necesitado. Había que instalarlo, configurarlo, crear el token de acceso en GitHub, vincular las credenciales, fallar en el primer push, intentarlo de nuevo. Lo que en otro contexto hubiera sido un trámite de diez minutos se convirtió en una hora de frustración porque no estaba preparado para ese paso.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lección no es técnica. Es de preparación: saber qué necesitas antes de necesitarlo. Un investigador que llega a este proceso sin esa preparación mínima no pierde solo tiempo. Pierde el ritmo. Y perder el ritmo, cuando estás aprendiendo algo nuevo, es más costoso que perder el tiempo.</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El artículo sin metodología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segundo error fue más revelador, porque no fue técnico. Fue conceptual.</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Generamos tres artículos científicos antes de que alguien -- el investigador, no la IA -- notara que ninguno tenía sección de metodología. La IA no lo sabe si no se lo pides. La responsabilidad de recordar que todo artículo científico necesita metodología es del investigador, no del sistema. Y yo no lo pedí, porque no lo pensé antes de empezar.</w:t>
      </w:r>
    </w:p>
    <w:p>
      <w:pPr>
        <w:spacing w:after="80" w:before="0" w:line="276"/>
      </w:pPr>
      <w:r>
        <w:rPr>
          <w:rFonts w:ascii="Times New Roman" w:cs="Times New Roman" w:eastAsia="Times New Roman" w:hAnsi="Times New Roman"/>
          <w:sz w:val="24"/>
          <w:szCs w:val="24"/>
        </w:rPr>
        <w:t xml:space="preserve"/>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«Solo lo comento, para la próxima hay que tener más cuidado.»
El autor, al detectar la ausencia de metodología en los tres primeros artículos</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Seis palabras en medio de la sesión. No una crisi ni un reproche -- solo una nota para la próxima vez. Pero esas seis palabras resumen mejor que cualquier otra cosa la relación correcta entre el investigador y la IA: el sistema ejecuta con velocidad y precisión. El investigador recuerda, revisa, corrige y exige. Ninguno funciona bien sin el otro.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Ese error produjo directamente el Agente 0. Si hubiera existido desde el inicio, habría preguntado: {&lt;}qué secciones obligatorias tiene la revista objetivo? Y yo habría respondido: metodología. Y los tres artículos habrían salido completos desde la primera versión. La mejor respuesta a un error no es la disculpa -- es el protocolo que lo hace imposible la próxima vez.</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Las tildes que no aparecieron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tercer error fue más pequeño pero igual de instructivo. El generador de documentos Word no maneja correctamente los caracteres especiales del español cuando el código se escribe de manera directa. Las tildes desaparecían. La eñe se convertía en otra cosa. El artículo generado tenía errores ortográficos sistemáticos que ninguna revista indexada ignoraría.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solución existía -- usar códigos Unicode para cada carácter especial -- pero requería haberlo sabido antes de empezar, no descubrirlo en el tercer intento. Eso también es preparación. No preparación técnica en el sentido de saber programar, sino preparación práctica en el sentido de conocer las limitaciones del sistema antes de usarlo para producir documentos que otros van a leer, evaluar y juzgar.</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2.3. La transparencia como valor metodológico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Contar estos errores no fue automático. Hubo un momento en el proceso donde me pregunté si no sería más conveniente omitirlos -- presentar el sistema como si hubiera funcionado perfectamente desde el primer intento y dejar que el lector sacara sus propias conclusiones sobre la eficiencia del proceso.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Decidí no hacerlo por una razón simple: la transparencia no es un valor opcional en la investigación académica. Es una condición de su legitimidad. Un protocolo que oculta sus errores es un protocolo que no puede ser auditado. Un investigador que oculta sus errores es un investigador que no puede ser criticado constructivamente. Y un libro que no cuenta lo que salió mal es un libro que no sirve para que otros aprendan a hacerlo mejor.</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Por eso todos los artículos que produjo esta sesión incluyen una declaración explícita del uso de IA. No como formalidad -- como principio. Si un sistema produce artículos científicos, ese sistema debe poder ser auditado, criticado y mejorado por otros. El código en GitHub es parte de esa transparencia. Este capítulo también lo es.</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2.4. Authoría de proceso: dirigir, corregir y asumir responsabilidad</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pregunta que este capítulo no puede evitar es la más incómoda de todas: {&lt;}quién escribió estos artículos?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respuesta honesta es que no los escribió la IA sola. Sin mi conocimiento sobre los 33 distritos rurales de Piura, sobre las normas del Sinaplan, sobre la diferencia entre el Virreinato del Perú y la colonia en sentido jurídico-político, los textos habrían sido genéricos e inutilizables. Ese conocimiento disciplinario no estaba en el sistema: estaba en mí. Y cuando el sistema se equivocaba -- cuando me presentaba una cita que no existía, o una fecha incorrecta, o un argumento basado en una premisa falsa -- era yo quien lo detectaba. Porque conocía el tema lo suficientemente bien como para notar que algo no cuadraba.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Pero tampoco los escribí yo en el sentido clásico. No tecleé cada párrafo. No construí cada argumento desde la página en blanco. No tomé las decisiones de redacción que un escritor académico convencional toma en cada oración.</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Lo que hice fue diseñar el proceso que los produce. Dirigió cada decisión crítica. Aporté el conocimiento disciplinario que le dio sustancia a los textos. Detecté los errores, exigí las correcciones y asumió la responsabilidad intelectual del resultado. Eso es autoría -- de un tipo nuevo, que la academia está empezando a debatir y que todavía no tiene un nombre consolidado ni estándares claros. Selwyn (2019) advirtió que la IA en educación no elimina la agencia humana sino que la redistribuye: el investigador que usa un sistema como SciAgent ejerce su agencia en el diseño y la supervisión del proceso, no en la ejecución momento a momento.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analogía que encuentro más precisa es la del arquitecto y el software de diseño. AutoCAD no diseña edificios. Los arquitectos lo hacen. Pero un arquitecto con AutoCAD puede producir en un día lo que sin él le llevaría semanas. La diferencia es que el arquitecto llega al software sabiendo lo que quiere construir. Esa preparación previa -- conceptual, no técnica -- es lo que este proceso me enseñó que faltaba y que debería estar primero la próxima vez.</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2.5. Lo que cambia si lo repito mañana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Si repitiera este proceso mañana, me prepararía más para no cometer errores.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Eso suena simple. No lo es. Prepararse para este proceso no significa aprender a programar. Significa llegar con claridad conceptual sobre qué se va a producir.</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Preparación técnica mínima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Antes de ejecutar el primer comando: verificar que Git está instalado y configurado. Tener Node.js activo. Tener la API key cargada y con crédito suficiente. Conocer el tratamiento de caracteres especiales en el generador de documentos. Estos no son detalles técnicos menores. Son las condiciones de posibilidad de todo lo demás. Sin ellas, el investigador pierde tiempo en problemas que no tienen ninguna relación con la investigación y pierde el ritmo antes de llegar a los resultados que importan.</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Preparación conceptual del artículo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Antes de pedir al sistema que genere un artículo: tener claro el tipo de estudio, las fuentes, las secciones obligatorias del formato de la revista, y los datos propios que el sistema no puede inventar. La metodología, los datos de campo, las precisiones disciplinarias -- en este caso, la distinción entre virreinato y colonia -- no emergen del sistema. Emergen del investigador que los conoce y los aporta. Prepararse significa tener esos elementos listos antes de iniciar, no descubrirlos a mitad del proceso.</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Preparación de la revisión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sistema produce. El investigador revisa. Pero revisar bien requiere saber qué revisar: la coherencia del argumento, la precisión de las citas, la presencia de todas las secciones obligatorias, la calidad de la metodología, la adecuación al formato de la revista. Un investigador que no tiene clara esa lista de verificación antes de iniciar descubre los problemas cuando ya hay tres artículos generados. Que es exactamente lo que ocurrió.</w:t>
      </w:r>
    </w:p>
    <w:p>
      <w:pPr>
        <w:spacing w:after="80" w:before="0" w:line="276"/>
      </w:pPr>
      <w:r>
        <w:rPr>
          <w:rFonts w:ascii="Times New Roman" w:cs="Times New Roman" w:eastAsia="Times New Roman" w:hAnsi="Times New Roman"/>
          <w:sz w:val="24"/>
          <w:szCs w:val="24"/>
        </w:rPr>
        <w:t xml:space="preserve"/>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«La preparación no es técnica. Es conceptual. Es saber qué vas a construir antes de empezar a construirlo.»</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2.6. Cinco lecciones para docentes universitarios</w:t>
      </w:r>
    </w:p>
    <w:p>
      <w:pPr>
        <w:spacing w:after="120" w:before="240" w:line="276"/>
        <w:jc w:val="left"/>
      </w:pPr>
      <w:r>
        <w:rPr>
          <w:rFonts w:ascii="Times New Roman" w:cs="Times New Roman" w:eastAsia="Times New Roman" w:hAnsi="Times New Roman"/>
          <w:b/>
          <w:bCs/>
          <w:color w:val="000000"/>
          <w:sz w:val="24"/>
          <w:szCs w:val="24"/>
        </w:rPr>
        <w:t xml:space="preserve">Primera: el conocimiento disciplinario es lo que hace funcionar al sistema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sistema rinde mejor cuanto más sabe el investigador. Los agentes produjeron mejores resultados sobre el Índice de Curvatura Social que sobre temas genéricos precisamente porque yo conocía los datos de los 33 distritos rurales de Piura, las normas del Sinaplan y la bibliografía especializada. La IA amplífica el conocimiento. No lo sustituye. Un investigador que llega al sistema sin conocimiento disciplinario profundo recibe outputs genéricos que no pasan la revisión por pares.</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Segunda: el error no detiene el proceso, lo mejora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Ninguno de los errores que ocurrieron detuvo el proceso. Cada uno fue diagnosticado, corregido y avanzado en la misma sesión. Eso solo es posible si el investigador mantiene el control del proceso y no delega la dirección a la máquina. El sistema ejecuta. El investigador decide.</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Tercera: la authoría de proceso es authoría real</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Dirigir un sistema que escribe por uno no es lo mismo que no escribir. Es un nuevo modelo de authoría que exige del investigador exactamente las competencias que la academia siempre ha valorado: conocimiento disciplinario profundo, criterio crítico, responsabilidad sobre los resultados. Lo que cambia es el medio, no la exigencia.</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Cuarta: la transparencia es parte de la integridad académica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Publicar el código en GitHub no fue solo una decisión técnica. Fue una decisión ética. Si un sistema produce artículos científicos, ese sistema debe poder ser auditado, criticado y mejorado por otros. Declarar el uso de IA en los artículos -- como se hizo en todos los que produjo esta sesión -- es la única postura intelectualmente honesta.</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Quinta: esto es replicable, con preparación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No tengo formación en programación. Aprendí viendo videos y conversando con Claude. Si yo pude construir esto -- con errores y todo -- cualquier docente universitario con curiosidad disciplinada puede hacerlo. La condición no es técnica: es llegar preparado. Saber qué se va a construir antes de empezar a construirlo.</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2.7. Reflexión final del capítulo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En la sala de profesores de UTP Piura, cuando un colega me pregunta si debería usar inteligencia artificial en su investigación, mi respuesta es siempre la misma: la IA ya está aquí y no se va a ir. Pero la segunda parte de esa respuesta es la que importa más: usar IA bien exige más del investigador, no menos. Más conocimiento disciplinario para detectar los errores del sistema. Más criterio crítico para evaluar sus outputs. Más rigor metodológico para validar lo que produce. Más honestidad para declarar cómo se usó y cuáles son sus límites.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Di un cambio. Y si lo repitiera mañana, llegaría más preparado. Eso también es parte del aprendizaje. Y esa diferencia -- entre el proceso que hice y el proceso que haría -- es exactamente lo que este capítulo quería documentar.</w:t>
      </w:r>
    </w:p>
    <w:p>
      <w:pPr>
        <w:spacing w:after="24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Referencias del capítulo</w:t>
      </w:r>
    </w:p>
    <w:p>
      <w:pPr>
        <w:spacing w:after="60" w:before="0" w:line="276"/>
      </w:pPr>
      <w:r>
        <w:rPr>
          <w:rFonts w:ascii="Times New Roman" w:cs="Times New Roman" w:eastAsia="Times New Roman" w:hAnsi="Times New Roman"/>
          <w:sz w:val="24"/>
          <w:szCs w:val="24"/>
        </w:rPr>
        <w:t xml:space="preserve"/>
      </w:r>
    </w:p>
    <w:p>
      <w:pPr>
        <w:spacing w:after="100" w:before="0" w:line="276"/>
        <w:ind w:left="720" w:hanging="720"/>
        <w:jc w:val="both"/>
      </w:pPr>
      <w:r>
        <w:rPr>
          <w:rFonts w:ascii="Times New Roman" w:cs="Times New Roman" w:eastAsia="Times New Roman" w:hAnsi="Times New Roman"/>
          <w:sz w:val="22"/>
          <w:szCs w:val="22"/>
        </w:rPr>
        <w:t xml:space="preserve">Anthropic (2026). Claude: AI assistant (claude-sonnet-4-6). Anthropic PBC.</w:t>
      </w:r>
    </w:p>
    <w:p>
      <w:pPr>
        <w:spacing w:after="100" w:before="0" w:line="276"/>
        <w:ind w:left="720" w:hanging="720"/>
        <w:jc w:val="both"/>
      </w:pPr>
      <w:r>
        <w:rPr>
          <w:rFonts w:ascii="Times New Roman" w:cs="Times New Roman" w:eastAsia="Times New Roman" w:hAnsi="Times New Roman"/>
          <w:sz w:val="22"/>
          <w:szCs w:val="22"/>
        </w:rPr>
        <w:t xml:space="preserve">Ellis, C., Adams, T. E. y Bochner, A. P. (2011). Autoethnography: An overview. Forum Qualitative Sozialforschung, 12(1), Art. 10. https://doi.org/10.17169/fqs-12.1.1589</w:t>
      </w:r>
    </w:p>
    <w:p>
      <w:pPr>
        <w:spacing w:after="100" w:before="0" w:line="276"/>
        <w:ind w:left="720" w:hanging="720"/>
        <w:jc w:val="both"/>
      </w:pPr>
      <w:r>
        <w:rPr>
          <w:rFonts w:ascii="Times New Roman" w:cs="Times New Roman" w:eastAsia="Times New Roman" w:hAnsi="Times New Roman"/>
          <w:sz w:val="22"/>
          <w:szCs w:val="22"/>
        </w:rPr>
        <w:t xml:space="preserve">Lave, J. y Wenger, E. (1991). Situated learning: Legitimate peripheral participation. Cambridge University Press.</w:t>
      </w:r>
    </w:p>
    <w:p>
      <w:pPr>
        <w:spacing w:after="100" w:before="0" w:line="276"/>
        <w:ind w:left="720" w:hanging="720"/>
        <w:jc w:val="both"/>
      </w:pPr>
      <w:r>
        <w:rPr>
          <w:rFonts w:ascii="Times New Roman" w:cs="Times New Roman" w:eastAsia="Times New Roman" w:hAnsi="Times New Roman"/>
          <w:sz w:val="22"/>
          <w:szCs w:val="22"/>
        </w:rPr>
        <w:t xml:space="preserve">Selwyn, N. (2019). Should robots replace teachers? AI and the future of education. Polity Press.</w:t>
      </w:r>
    </w:p>
    <w:p>
      <w:pPr>
        <w:spacing w:after="100" w:before="0" w:line="276"/>
        <w:ind w:left="720" w:hanging="720"/>
        <w:jc w:val="both"/>
      </w:pPr>
      <w:r>
        <w:rPr>
          <w:rFonts w:ascii="Times New Roman" w:cs="Times New Roman" w:eastAsia="Times New Roman" w:hAnsi="Times New Roman"/>
          <w:sz w:val="22"/>
          <w:szCs w:val="22"/>
        </w:rPr>
        <w:t xml:space="preserve">Sotomayor-Fernández, M. J. (2026). Modelado de la Exclusión Territorial mediante Sociología Algorítmica: El Índice de Curvatura Social (ICS) en el marco del Sinaplan. Manuscrito enviado a Formación Universitaria.</w:t>
      </w:r>
    </w:p>
    <w:p>
      <w:pPr>
        <w:spacing w:after="320" w:before="0" w:line="276"/>
      </w:pPr>
      <w:r>
        <w:rPr>
          <w:rFonts w:ascii="Times New Roman" w:cs="Times New Roman" w:eastAsia="Times New Roman" w:hAnsi="Times New Roman"/>
          <w:sz w:val="24"/>
          <w:szCs w:val="24"/>
        </w:rPr>
        <w:t xml:space="preserve"/>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Fin del Capítulo 2.
El Capítulo 3 desarrollará: Protocolo metodológico — riesgos, validación científica y replicabilidad.
Espero sus observaciones para continuar.</w:t>
      </w:r>
    </w:p>
    <w:p>
      <w:r>
        <w:br w:type="page"/>
      </w:r>
    </w:p>
    <w:p>
      <w:pPr>
        <w:spacing w:after="200" w:before="400" w:line="276"/>
        <w:jc w:val="left"/>
      </w:pPr>
      <w:r>
        <w:rPr>
          <w:rFonts w:ascii="Times New Roman" w:cs="Times New Roman" w:eastAsia="Times New Roman" w:hAnsi="Times New Roman"/>
          <w:b/>
          <w:bCs/>
          <w:color w:val="000000"/>
          <w:sz w:val="28"/>
          <w:szCs w:val="28"/>
        </w:rPr>
        <w:t xml:space="preserve">Capítulo 3</w:t>
      </w:r>
    </w:p>
    <w:p>
      <w:pPr>
        <w:spacing w:after="240" w:before="0" w:line="276"/>
        <w:jc w:val="left"/>
      </w:pPr>
      <w:r>
        <w:rPr>
          <w:rFonts w:ascii="Times New Roman" w:cs="Times New Roman" w:eastAsia="Times New Roman" w:hAnsi="Times New Roman"/>
          <w:b/>
          <w:bCs/>
          <w:color w:val="1A2F4A"/>
          <w:sz w:val="32"/>
          <w:szCs w:val="32"/>
        </w:rPr>
        <w:t xml:space="preserve">Protocolo metodológico para sistemas multiagente</w:t>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«El sistema ejecuta con velocidad y precisión. El investigador recuerda, revisa, corrige y exige. Ninguno funciona bien sin el otro.»
Manuel J. Sotomayor-Fernández</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capítulo anterior terminó con una confesión: si repitiera el proceso mañana, me prepararía más para no cometer errores. Este capítulo es la respuesta a esa confesión. No el relato de lo que salió mal, sino el protocolo de lo que debe hacerse bien.</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Pero antes de proponer el protocolo, es necesario mirar de frente algo que los relatos entusiastas sobre IA en la academia tienden a eludir: los riesgos reales del proceso. No los riesgos hipotéticos de un futuro distante, sino los que ya están ocurriendo hoy, en cada universidad que empieza a usar sistemas de inteligencia artificial sin protocolos de validación. Zawacki-Richter et al. (2019) identificaron que la literatura sobre IA en educación superior tiende al optimismo y subestima sistemáticamente los riesgos. Este capítulo intenta corregir ese sesgo desde la experiencia directa.</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3.1. Riesgos reales: lo que el entusiasmo oculta</w:t>
      </w:r>
    </w:p>
    <w:p>
      <w:pPr>
        <w:spacing w:after="120" w:before="240" w:line="276"/>
        <w:jc w:val="left"/>
      </w:pPr>
      <w:r>
        <w:rPr>
          <w:rFonts w:ascii="Times New Roman" w:cs="Times New Roman" w:eastAsia="Times New Roman" w:hAnsi="Times New Roman"/>
          <w:b/>
          <w:bCs/>
          <w:color w:val="000000"/>
          <w:sz w:val="24"/>
          <w:szCs w:val="24"/>
        </w:rPr>
        <w:t xml:space="preserve">El riesgo que más se subestima: las alucinaciones</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Los modelos de lenguaje de gran escala -- incluyendo Claude -- pueden generar afirmaciones pláusibles que son factualmente incorrectas. En el ámbito académico, esto se manifiesta de tres formas que conviene nombrar con precisión.</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primera es la referencia bibliográfica inventada. El sistema puede generar una cita con autor real, año plausible, título coherente y DOI válido en apariencia -- que en realidad no existe. No es un error tipográfico. Es una construcción convincente que solo un investigador con conocimiento disciplinario profundo puede detectar, porque el error no está en la forma sino en la existencia del texto citado.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segunda es el dato estadístico fabricado. Una cifra que suena realista -- «el 68.3% de los estudiantes universitarios piuranos» -- sin que exista ningún estudio que la respalde. El número es específico, el porcentaje es preciso, el contexto es correcto. Solo falta que sea verdad.</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tercera es el argumento circular. El sistema puede construir una cadena de razonamiento internamente coherente pero basada en una premisa falsa que pasa desapercibida si el investigador no la verifica contra fuentes primarias. Un argumento que se sostiene a sí mismo no necesariamente se sostiene contra la realidad.</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En el proceso que describe este libro, el riesgo de alucinación fue gestionado de manera parcialmente intuitiva: el investigador conocía los datos de los 33 distritos rurales de Piura y podía verificar si los números que aparecían en el artículo eran coherentes con sus fuentes. Esa verificación dependía del conocimiento disciplinario del investigador, no de un protocolo sistemático. La diferencia importa: un investigador que trabaja en un tema que no domina profundamente tiene menos capacidad de detectar esas inconsistencias, y el sistema no lo advertirá por él.</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El sesgo de confirmación: el riesgo que menos se nota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sistema tiende a producir argumentos coherentes con el encuadre que el investigador le proporciona. Si se pide un artículo que «demuestre» una hipótesis, el sistema construirá el argumento para demostrarla -- incluso si la evidencia es insuficiente o si existen hallazgos contradictorios en la literatura que el sistema no mencionará espontáneamente.</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Este sesgo de confirmación es especialmente peligroso porque produce textos muy convincentes. La garantía contra él es el conocimiento disciplinario del investigador y la revisión crítica del Agente 5 -- el Revisor -- que fue diseñado precisamente para detectar inconsistencias lógicas y debilidades del argumento. Pero ninguna garantía es perfecta: si el investigador le pide al sistema que argumente en una dirección, y si el revisor está configurado para mejorar ese argumento en lugar de cuestionarlo, el sesgo puede sobrevivir todo el pipeline.</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La dependencia tecnológica: el costo que nadie calcula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SciAgent requiere una API key de Anthropic con crédito suficiente. En el contexto de la investigación universitaria peruana -- y especialmente en Piura, donde la conectividad alcanza menos del 40% de avance en el proyecto de instalación de banda ancha (ComexPerú, 2026) y el acceso a tarjetas de crédito internacionales no es universal -- este costo no es trivial.</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Un pipeline completo de once agentes sobre un artículo de complejidad media puede consumir entre 3 y 8 dólares de crédito de API, dependiendo de la longitud de los outputs. Eso equivale a una fractura de acceso: los investigadores con mayor poder adquisitivo pueden usar el sistema de manera intensiva; los que no pueden costear ese gasto enfrentan una barrera real. Luckin (2018) advirtió que las tecnologías de IA en educación tienden a reproducir y ampliar las desigualdades preexistentes si no se diseñan con criterios de equidad desde el inicio. En Piura, esa advertencia no es abstracta: es una condición operativa que cualquier protocolo responsable debe reconocer.</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3.2. Validación científica: cómo saber si lo que produjo el sistema es válido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Esta es la pregunta más incómoda del capítulo, y la que requiere respuesta más precisa: no basta con decir que el proceso produjo artículos -- hay que explicar cómo se sabe que esos artículos son científicamente válidos.</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La distinción fundamental: datos aportados vs. construcciones del modelo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primer criterio de validación es distinguir con precisión qué elementos del artículo provienen de fuentes verificables y cuáles son construcciones del modelo. En los artículos producidos en este proceso, los datos de ejecución presupuestal de los 33 distritos rurales de Piura fueron aportados por el investigador desde archivos de campo propios y fuentes oficiales (MEF, BCRP, GORE Piura). Las proyecciones del modelo PINN -- el Índice de Curvatura Social proyectado a 2030, los intervalos de confianza -- son construcciones del modelo basadas en parámetros que el investigador validó con literatura especializada.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Esa distinción debe ser explícita en la nota metodológica de cada artículo: el lector tiene derecho a saber qué es dato verificado y qué es estimación modelada. Un artículo que mezcla ambos sin distinguirlos no es deshonesto por intención, pero sí lo es por omisión.</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La validación convergente: contrastando el indicador nuevo con los establecidos</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artículo del ICS aplicó validación convergente calculando la correlación de Pearson entre el índice generado y dos indicadores establecidos: el Índice de Desarrollo Humano (r = -0.71) y el Índice de Necesidades Básicas Insatisfechas (r = 0.68). Esos cálculos fueron realizados sobre los datos reales de los distritos, no generados por el sistema.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validación convergente -- el procedimiento de contrastar un indicador nuevo con indicadores ya aceptados por la comunidad científica -- es uno de los métodos más sólidos para establecer la validez de una métrica original. Su aplicación en este caso produjo evidencia de que el ICS mide algo real y diferente de lo que el IDH y el NBI miden por separado: eso no es trivial. Es el argumento central de novedad del artículo, y es un argumento que el sistema no pudo generar por sí solo -- requirió los datos y el criterio del investigador.</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El protocolo mínimo de revisión humana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A partir de esta experiencia, se propone el siguiente protocolo de cinco pasos para cualquier artículo producido con SciAgent o con cualquier sistema multiagente equivalente:</w:t>
      </w:r>
    </w:p>
    <w:p>
      <w:pPr>
        <w:spacing w:after="60" w:before="0" w:line="276"/>
      </w:pPr>
      <w:r>
        <w:rPr>
          <w:rFonts w:ascii="Times New Roman" w:cs="Times New Roman" w:eastAsia="Times New Roman" w:hAnsi="Times New Roman"/>
          <w:sz w:val="24"/>
          <w:szCs w:val="24"/>
        </w:rPr>
        <w:t xml:space="preserve"/>
      </w:r>
    </w:p>
    <w:p>
      <w:pPr>
        <w:spacing w:after="8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Primero: verificar manualmente todas las citas bibliográficas contra sus fuentes originales. Sin excepción. Acceder al DOI o al repositorio institucional para confirmar que el texto existe, y leer al menos el abstract para verificar que el argumento del sistema lo cita con precisión.</w:t>
      </w:r>
    </w:p>
    <w:p>
      <w:pPr>
        <w:spacing w:after="8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Segundo: confirmar todos los datos cuantitativos contra las fuentes primarias que el investigador aportó. Ningún número que el investigador no haya introducido directamente debe aceptarse sin verificación.</w:t>
      </w:r>
    </w:p>
    <w:p>
      <w:pPr>
        <w:spacing w:after="8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Tercero: revisar que la sección de metodología describe con precisión el proceso real -- incluyendo los ajustes manuales que el investigador realizó durante la generación. Un artículo cuya metodología no describe lo que realmente se hizo no es reproducible.</w:t>
      </w:r>
    </w:p>
    <w:p>
      <w:pPr>
        <w:spacing w:after="8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Cuarto: someter el manuscrito al juicio de al menos un colega del campo disciplinario antes del envío a la revista. El sistema no puede reemplazar la revisión por pares, y ningún protocolo interno puede sustituirla.</w:t>
      </w:r>
    </w:p>
    <w:p>
      <w:pPr>
        <w:spacing w:after="8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Quinto: declarar explícitamente el uso de IA en la sección de limitaciones de responsabilidades, especificando qué agentes se utilizaron, para qué tareas y cómo se validó el output. Ningún paso de este protocolo puede ser realizado por el sistema. Son trabajo humano, y su omisión compromete la integridad del producto.</w:t>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El protocolo no es una garantía de calidad absoluta. Es la condición mínima que convierte el output del sistema en un artículo científico defendible ante un revisor externo.</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3.3. Replicabilidad responsable: quién puede hacer esto y en qué condiciones</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Este libro afirmó en el capítulo anterior que el proceso es replicable. Esa afirmación requiere precisión: replicable para quién, en qué condiciones y con qué resultado esperado.</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Las cinco condiciones mínimas</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Para replicar este proceso en el contexto de la educación superior peruana -- y específicamente en Piura -- se necesitan al menos cinco condiciones.</w:t>
      </w:r>
    </w:p>
    <w:p>
      <w:pPr>
        <w:spacing w:after="60" w:before="0" w:line="276"/>
      </w:pPr>
      <w:r>
        <w:rPr>
          <w:rFonts w:ascii="Times New Roman" w:cs="Times New Roman" w:eastAsia="Times New Roman" w:hAnsi="Times New Roman"/>
          <w:sz w:val="24"/>
          <w:szCs w:val="24"/>
        </w:rPr>
        <w:t xml:space="preserve"/>
      </w:r>
    </w:p>
    <w:p>
      <w:pPr>
        <w:spacing w:after="8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La primera es conectividad estable. El pipeline completo consume varios minutos de transmisión de datos; una conexión inestable interrumpe el proceso y puede generar outputs incompletos.</w:t>
      </w:r>
    </w:p>
    <w:p>
      <w:pPr>
        <w:spacing w:after="8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La segunda es una API key de Anthropic con crédito suficiente. El costo estimado por artículo fue señalado arriba.</w:t>
      </w:r>
    </w:p>
    <w:p>
      <w:pPr>
        <w:spacing w:after="8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La tercera es Node.js instalado y configurado en el equipo. Sin esto, el orquestador no puede ejecutarse.</w:t>
      </w:r>
    </w:p>
    <w:p>
      <w:pPr>
        <w:spacing w:after="8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La cuarta es conocimiento disciplinario profundo del tema de investigación. Sin ese conocimiento, el investigador no puede detectar los errores del sistema ni aportar los datos que el sistema no tiene.</w:t>
      </w:r>
    </w:p>
    <w:p>
      <w:pPr>
        <w:spacing w:after="8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La quinta -- y la más importante -- es preparación conceptual previa: saber qué es un artículo científico, qué secciones obligatorias tiene, a qué revista se dirige y con qué normas, antes de ejecutar el pipeline.</w:t>
      </w:r>
    </w:p>
    <w:p>
      <w:pPr>
        <w:spacing w:after="120" w:before="240" w:line="276"/>
        <w:jc w:val="left"/>
      </w:pPr>
      <w:r>
        <w:rPr>
          <w:rFonts w:ascii="Times New Roman" w:cs="Times New Roman" w:eastAsia="Times New Roman" w:hAnsi="Times New Roman"/>
          <w:b/>
          <w:bCs/>
          <w:color w:val="000000"/>
          <w:sz w:val="24"/>
          <w:szCs w:val="24"/>
        </w:rPr>
        <w:t xml:space="preserve">Los tipos de investigación que se benefician más</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sistema rinde mejor en investigación cuantitativa con datos verificables que el investigador puede aportar directamente. El artículo del ICS es el ejemplo paradigmático: datos de campo propios, métodos computacionales bien definidos, resultados numéricos verificables.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También funciona bien en ensayos analíticos e históricos donde el investigador conoce profundamente la literatura y puede detectar las imprecisiones del sistema. El artículo sobre Estado, nación y desafíos estructurales en el Perú ilustra esto: fue el investigador quien detectó la distinción entre Virreinato del Perú y colonia en sentido jurídico-político -- una precisión historiográfica que el sistema no habría hecho por sí solo.</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Los tipos de investigación donde el sistema tiene limitaciones serias</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sistema tiene limitaciones importantes en investigación cualitativa que requiere análisis de datos primários -- entrevistas, grupos focales, observación participante. El Agente 3 puede sugerir cómo analizar esos datos, pero no puede realizarlo. En investigación clínica o con poblaciones vulnerables, el sistema puede producir un manuscrito formalmente correcto pero que no ha pasado por los procesos institucionales de aprobación ética que ese tipo de investigación requiere. Y en investigación altamente especializada en campos emergentes, donde la literatura disponible es escasa o muy reciente, el sistema puede generar estados del arte incompletos o sesgados hacia lo que tiene en su entrenamiento.</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El contexto específico de Piura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Un docente de UTP Piura que quiera replicar este proceso enfrenta condiciones específicas que ningún protocolo puede ignorar. La conectividad variable hace que el proceso sea más frágil que en Lima. El acceso a tarjetas de crédito internacionales para pagar la API es una barrera real para algunos. Y la cultura académica institucional -- que en muchas universidades peruanas aún ve el uso de IA con desconfianza -- puede generar resistencias que el entusiasmo del investigador individual no puede superar solo.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Estas condiciones no invalidan la replicabilidad del proceso. Pero la condicionan. Ignorarlas en un protocolo que pretende ser útil para investigadores latinoamericanos sería exactamente el tipo de universalismo ingenuo que la investigación situada busca evitar.</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3.4. El Agente 0: la respuesta institucional a los riesgos</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Agente 0 de Verificación Previa no estaba en el diseño original de SciAgent. Nació de los errores que el capítulo anterior describió. Antes de que el pipeline comience, el Agente 0 pregunta y confirma:</w:t>
      </w:r>
    </w:p>
    <w:p>
      <w:pPr>
        <w:spacing w:after="60" w:before="0" w:line="276"/>
      </w:pPr>
      <w:r>
        <w:rPr>
          <w:rFonts w:ascii="Times New Roman" w:cs="Times New Roman" w:eastAsia="Times New Roman" w:hAnsi="Times New Roman"/>
          <w:sz w:val="24"/>
          <w:szCs w:val="24"/>
        </w:rPr>
        <w:t xml:space="preserve"/>
      </w:r>
    </w:p>
    <w:p>
      <w:pPr>
        <w:spacing w:after="14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El tipo de estudio. La revista objetivo con su ISSN y formato de referencias. Los datos propios disponibles que el sistema no puede inventar. Las secciones obligatorias incluyendo la metodología. Las precisiones disciplinarias críticas que el sistema no encontrará en la literatura general. Y el checklist IMRAD completo: Introducción, Metodología, Resultados, Discusión, Conclusiones, Referencias.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Si el investigador no puede responder alguna de esas verificaciones, el Agente 0 no aprueba la ejecución del pipeline. Esa es su función. No es burocracia -- es la formalización de la lección más cara que esta experiencia enseñó: es mejor prepararse bien que generar un artículo incompleto que haya que corregir desde cero.</w:t>
      </w:r>
    </w:p>
    <w:p>
      <w:pPr>
        <w:spacing w:after="80" w:before="0" w:line="276"/>
      </w:pPr>
      <w:r>
        <w:rPr>
          <w:rFonts w:ascii="Times New Roman" w:cs="Times New Roman" w:eastAsia="Times New Roman" w:hAnsi="Times New Roman"/>
          <w:sz w:val="24"/>
          <w:szCs w:val="24"/>
        </w:rPr>
        <w:t xml:space="preserve"/>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«La mejor respuesta a un error no es la disculpa. Es el protocolo que lo hace imposible la próxima vez.»</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3.5. Reflexión final del capítulo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Un protocolo metodológico no es una camisa de fuerza. Es una guía mínima que permite al investigador avanzar con más velocidad porque no tiene que redescubrir cada vez lo que ya se aprendió la vez anterior.</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Los riesgos que este capítulo describe -- alucinaciones, sesgos, dependencia tecnológica -- son reales y gestionables. Ninguno invalida el uso del sistema. Todos exigen que el investigador los conozca antes de empezar, no después de haberlos cometido.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validación científica no es un paso final que se agrega al final del proceso. Es una actitud que el investigador mantiene durante todo el proceso: verificando, cuestionando, exigiendo evidencia donde el sistema ofrece plausibilidad. Esa actitud es lo que distingue al investigador que usa IA del investigador que es usado por ella.</w:t>
      </w:r>
    </w:p>
    <w:p>
      <w:pPr>
        <w:spacing w:after="24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Referencias del capítulo</w:t>
      </w:r>
    </w:p>
    <w:p>
      <w:pPr>
        <w:spacing w:after="60" w:before="0" w:line="276"/>
      </w:pPr>
      <w:r>
        <w:rPr>
          <w:rFonts w:ascii="Times New Roman" w:cs="Times New Roman" w:eastAsia="Times New Roman" w:hAnsi="Times New Roman"/>
          <w:sz w:val="24"/>
          <w:szCs w:val="24"/>
        </w:rPr>
        <w:t xml:space="preserve"/>
      </w:r>
    </w:p>
    <w:p>
      <w:pPr>
        <w:spacing w:after="100" w:before="0" w:line="276"/>
        <w:ind w:left="720" w:hanging="720"/>
        <w:jc w:val="both"/>
      </w:pPr>
      <w:r>
        <w:rPr>
          <w:rFonts w:ascii="Times New Roman" w:cs="Times New Roman" w:eastAsia="Times New Roman" w:hAnsi="Times New Roman"/>
          <w:sz w:val="22"/>
          <w:szCs w:val="22"/>
        </w:rPr>
        <w:t xml:space="preserve">Anthropic (2026). Claude: AI assistant (claude-sonnet-4-6). Anthropic PBC.</w:t>
      </w:r>
    </w:p>
    <w:p>
      <w:pPr>
        <w:spacing w:after="100" w:before="0" w:line="276"/>
        <w:ind w:left="720" w:hanging="720"/>
        <w:jc w:val="both"/>
      </w:pPr>
      <w:r>
        <w:rPr>
          <w:rFonts w:ascii="Times New Roman" w:cs="Times New Roman" w:eastAsia="Times New Roman" w:hAnsi="Times New Roman"/>
          <w:sz w:val="22"/>
          <w:szCs w:val="22"/>
        </w:rPr>
        <w:t xml:space="preserve">ComexPerú (2026). Conectividad y brecha digital en regiones del Perú: Informe 2025-2026. Sociedad de Comercio Exterior del Perú.</w:t>
      </w:r>
    </w:p>
    <w:p>
      <w:pPr>
        <w:spacing w:after="100" w:before="0" w:line="276"/>
        <w:ind w:left="720" w:hanging="720"/>
        <w:jc w:val="both"/>
      </w:pPr>
      <w:r>
        <w:rPr>
          <w:rFonts w:ascii="Times New Roman" w:cs="Times New Roman" w:eastAsia="Times New Roman" w:hAnsi="Times New Roman"/>
          <w:sz w:val="22"/>
          <w:szCs w:val="22"/>
        </w:rPr>
        <w:t xml:space="preserve">Luckin, R. (2018). Machine learning and human intelligence: The future of education for the 21st century. UCL Institute of Education Press.</w:t>
      </w:r>
    </w:p>
    <w:p>
      <w:pPr>
        <w:spacing w:after="100" w:before="0" w:line="276"/>
        <w:ind w:left="720" w:hanging="720"/>
        <w:jc w:val="both"/>
      </w:pPr>
      <w:r>
        <w:rPr>
          <w:rFonts w:ascii="Times New Roman" w:cs="Times New Roman" w:eastAsia="Times New Roman" w:hAnsi="Times New Roman"/>
          <w:sz w:val="22"/>
          <w:szCs w:val="22"/>
        </w:rPr>
        <w:t xml:space="preserve">Raissi, M., Perdikaris, P. y Karniadakis, G. E. (2019). Physics-informed neural networks: A deep learning framework for solving forward and inverse problems. Journal of Computational Physics, 378, 686-707. https://doi.org/10.1016/j.jcp.2018.10.045</w:t>
      </w:r>
    </w:p>
    <w:p>
      <w:pPr>
        <w:spacing w:after="100" w:before="0" w:line="276"/>
        <w:ind w:left="720" w:hanging="720"/>
        <w:jc w:val="both"/>
      </w:pPr>
      <w:r>
        <w:rPr>
          <w:rFonts w:ascii="Times New Roman" w:cs="Times New Roman" w:eastAsia="Times New Roman" w:hAnsi="Times New Roman"/>
          <w:sz w:val="22"/>
          <w:szCs w:val="22"/>
        </w:rPr>
        <w:t xml:space="preserve">Zawacki-Richter, O., Marín, V. I., Bond, M. y Gouverneur, F. (2019). Systematic review of research on artificial intelligence applications in higher education. International Journal of Educational Technology in Higher Education, 16, 39. https://doi.org/10.1186/s41239-019-0171-0</w:t>
      </w:r>
    </w:p>
    <w:p>
      <w:pPr>
        <w:spacing w:after="320" w:before="0" w:line="276"/>
      </w:pPr>
      <w:r>
        <w:rPr>
          <w:rFonts w:ascii="Times New Roman" w:cs="Times New Roman" w:eastAsia="Times New Roman" w:hAnsi="Times New Roman"/>
          <w:sz w:val="24"/>
          <w:szCs w:val="24"/>
        </w:rPr>
        <w:t xml:space="preserve"/>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Fin del Capítulo 3.
El Capítulo 4 desarrollará: El sistema como revisor académico — de generador a auditor.
Espero sus observaciones para continuar.</w:t>
      </w:r>
    </w:p>
    <w:p>
      <w:r>
        <w:br w:type="page"/>
      </w:r>
    </w:p>
    <w:p>
      <w:pPr>
        <w:spacing w:after="200" w:before="400" w:line="276"/>
        <w:jc w:val="left"/>
      </w:pPr>
      <w:r>
        <w:rPr>
          <w:rFonts w:ascii="Times New Roman" w:cs="Times New Roman" w:eastAsia="Times New Roman" w:hAnsi="Times New Roman"/>
          <w:b/>
          <w:bCs/>
          <w:color w:val="000000"/>
          <w:sz w:val="28"/>
          <w:szCs w:val="28"/>
        </w:rPr>
        <w:t xml:space="preserve">Capítulo 4</w:t>
      </w:r>
    </w:p>
    <w:p>
      <w:pPr>
        <w:spacing w:after="240" w:before="0" w:line="276"/>
        <w:jc w:val="left"/>
      </w:pPr>
      <w:r>
        <w:rPr>
          <w:rFonts w:ascii="Times New Roman" w:cs="Times New Roman" w:eastAsia="Times New Roman" w:hAnsi="Times New Roman"/>
          <w:b/>
          <w:bCs/>
          <w:color w:val="1A2F4A"/>
          <w:sz w:val="32"/>
          <w:szCs w:val="32"/>
        </w:rPr>
        <w:t xml:space="preserve">El sistema como revisor académico: de generador a auditor</w:t>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«El verdadero valor de este sistema no reside únicamente en su capacidad de generar artículos científicos, sino también en su potencial como revisor académico.»
Manuel J. Sotomayor-Fernández, Prefacio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Hay un momento en el proceso de construir SciAgent en que algo cambia de manera silenciosa pero definitiva. Al principio, la pregunta era: {&lt;}cómo puedo usar la IA para producir artículos? Esa pregunta parecía suficiente. Pero a medida que el sistema evolucionaba -- a medida que los agentes aprendieron a revisarse entre sí, a detectar inconsistencias, a emitir dictámenes con criterio metodológico -- la pregunta se transformó: {&lt;}cómo puedo usar la IA para revisar lo que ya existe?</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Esa segunda pregunta es más poderosa que la primera. Porque el mundo académico no tiene deficit de textos: tiene deficit de revisión rigurosa. Hay más artículos publicados cada año de los que cualquier investigador puede leer. Hay más tesis defendidas de las que cualquier asesor puede revisar con la profundidad que merece. Y hay más informes institucionales acumulados de los que cualquier gestor público puede analizar. La IA como revisora no compite con nadie -- llena un vacío que la academia latinoamericana no puede cubrir con sus recursos actuales.</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4.1. De generador a auditor: la evolución del propósito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SciAgent nació como sistema de producción. Pero tres de sus agentes -- el Revisor (Agente 5), el Evaluador de Calidad (Agente 9) y el Detector de Vacíos (Agente 10) -- hacen algo diferente a los demás: no producen, auditan.</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Agente 5 actúa como árbitro interno. Lee el manuscrito completo y emite un veredicto con cuatro componentes: puntuación general de 0 a 10, fortalezas documentadas, debilidades identificadas y recomendación final -- aceptar, revisar menor, revisar mayor o rechazar. Ese veredicto no es decorativo: si el artículo recibe la recomendación de «revisar mayor», el pipeline se detiene y espera instrucción del investigador antes de continuar.</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Agente 9 va más lejos. Asigna el nivel de evidencia del estudio -- del Nivel I (metáanálisis) al Nivel VII (opinión de expertos) -- detecta los cuatro tipos clásicos de sesgo en investigación (selección, medición, confusión y publicación), y ejecuta las cinco verificaciones del supervisor del SMID-MA: {&lt;}toda afirmación tiene evidencia? {&lt;}Toda evidencia posee fuente verificable? {&lt;}Existe trazabilidad documental? {&lt;}Hay contradicciones no explicadas? {&lt;}El texto aporta análisis y no solo descripción? El certificado que emite al final -- APROBADO, APROBADO CON OBSERVACIONES o RECHAZADO -- es exactamente lo que un editor académico serio haría antes de enviar un manuscrito a revisión por pares.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Agente 10, por su parte, hace algo que ningún revisor humano hace sistemáticamente: identifica los vacíos científicos que el artículo abre, clasifica por tipo -- teórico, conceptual, metodológico, geográfico, poblacional, temporal, estadístico -- y genera el párrafo de agenda futura listo para insertar. Ese párrafo no es un cierre protocolario: es la contribución más honesta que un artículo puede hacer a la comunidad científica, porque nombra con precisión lo que no pudo resolver.</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4.2. Qué puede auditar el sistema</w:t>
      </w:r>
    </w:p>
    <w:p>
      <w:pPr>
        <w:spacing w:after="120" w:before="240" w:line="276"/>
        <w:jc w:val="left"/>
      </w:pPr>
      <w:r>
        <w:rPr>
          <w:rFonts w:ascii="Times New Roman" w:cs="Times New Roman" w:eastAsia="Times New Roman" w:hAnsi="Times New Roman"/>
          <w:b/>
          <w:bCs/>
          <w:color w:val="000000"/>
          <w:sz w:val="24"/>
          <w:szCs w:val="24"/>
        </w:rPr>
        <w:t xml:space="preserve">Tesis de grado y posgrado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aplicación más inmediata del sistema como revisor es la asesoría de tesis. Como docente universitario que asesora tesis de grado y posgrado en UTP Piura, el tiempo de revisión es el cuello de botella más frecuente: entre las clases, la investigación propia, las consultorías y las obligaciones administrativas, el tiempo disponible para revisar un capítulo de tesis con la profundidad que merece es siempre menor al que el proceso requiere.</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sistema no reemplaza la asesoría -- la prepara. Un asesor que llega a la reunión con el diagnóstico del Agente 9 ya sabe cuál es el nivel de evidencia del estudio, dónde están los sesgos, qué secciones son débiles y qué afirmaciones carecen de respaldo. La reunión puede entonces centrarse en lo que realmente importa: las decisiones metodológicas sustantivas y el argumento disciplinario, no en la lista de verificación formal que el sistema ya completó.</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En la práctica, el proceso funciona así: el tesista envía su capítulo en formato de texto. El asesor lo introduce en el pipeline de revisión -- activando los agentes 5, 9 y 10 -- y recibe en minutos un diagnóstico estructurado. Ese diagnóstico se convierte en la agenda de la reunión de asesoría. El tiempo de revisión se reduce; la profundidad del análisis aumenta.</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Artículos propios antes del envío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segundo uso del sistema como revisor es la verificación de manuscritos propios antes del envío a revista. El flujo natural es: el investigador produce el artículo -- con o sin SciAgent -- y antes de enviarlo lo pasa por los agentes de revisión. El Agente 11 (Evaluador Scopus/WoS) emite el dictamen editorial con la revista objetivo, el cuartil y la estrategia de carta de presentación.</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Ese dictamen tiene valor concreto porque reduce el tiempo de decisión editorial. En lugar de enviar el artículo a una revista y esperar tres meses para recibir un rechazo que habría podido anticiparse, el investigador puede ajustar el manuscrito antes del envío en función del diagnóstico del sistema. No es garantía de aceptación -- pero sí reduce los errores más frecuentes que producen rechazos innecesarios.</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Informes institucionales y documentos de política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tercer uso del sistema como revisor es el más amplio y el menos evidente: la auditoría de documentos institucionales. Planes de desarrollo concertado, estudios de diagnóstico territorial, informes de gestión, propuestas técnicas para candidatos a gobiernos regionales -- todos estos documentos tienen en común que son producidos bajo presión de tiempo, con recursos limitados y con equipos que no siempre tienen formación metodológica especializada.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sistema puede revisar la coherencia interna de un plan de desarrollo, verificar si los objetivos estratégicos tienen indicadores medibles, detectar si las metas formuladas son consistentes con el diagnóstico situacional, e identificar las brechas entre lo que el documento dice que hará y lo que el presupuesto permite ejecutar. Ese tipo de auditoría no reemplaza al especialista -- requiere que un especialista interprete el diagnóstico -- pero acorta drásticamente el tiempo que ese especialista necesita para hacer su trabajo.</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4.3. Los límites del sistema como revisor</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Sería deshonesto terminar esta sección sin nombrar lo que el sistema no puede hacer como revisor.</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Agente 9 puede detectar si una afirmación carece de respaldo bibliográfico. No puede determinar si ese respaldo es suficiente -- eso requiere dominio disciplinario. Puede señalar que el nivel de evidencia es IV (correlacional) y que eso limita las conclusiones causales. No puede evaluar si la decisión metodológica de usar ese diseño fue la correcta dado el estado de la literatura -- eso también requiere dominio disciplinario.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Dicho de otra manera: el sistema puede verificar la estructura del argumento, pero no puede evaluar la calidad del conocimiento que lo sustenta. Esa evaluación sigue siendo trabajo humano. Y es, probablemente, el trabajo más valioso que el investigador hace: decidir si lo que el artículo dice es verdad, relevante y nuevo -- tres preguntas que ningún agente puede responder en lugar suyo.</w:t>
      </w:r>
    </w:p>
    <w:p>
      <w:pPr>
        <w:spacing w:after="80" w:before="0" w:line="276"/>
      </w:pPr>
      <w:r>
        <w:rPr>
          <w:rFonts w:ascii="Times New Roman" w:cs="Times New Roman" w:eastAsia="Times New Roman" w:hAnsi="Times New Roman"/>
          <w:sz w:val="24"/>
          <w:szCs w:val="24"/>
        </w:rPr>
        <w:t xml:space="preserve"/>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«El sistema puede verificar la estructura del argumento. No puede evaluar la calidad del conocimiento que lo sustenta. Esa evaluación sigue siendo trabajo humano.»</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4.4. Protocolos de revisión cruzada humano-IA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uso más sofisticado del sistema como revisor combina la auditoría del sistema con la revisión de un colega humano en un protocolo de dos pasos.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primer paso es la auditoría del sistema: los agentes 5, 9 y 10 procesan el manuscrito y producen el diagnóstico estructurado. El investigador revisa ese diagnóstico, corrige los problemas identificados y documenta los que decidió no corregir y por qué.</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segundo paso es la revisión del colega: el manuscrito corregido -- junto con el diagnóstico del sistema y las anotaciones del investigador -- se envía a un par académico del mismo campo disciplinario. El colega no tiene que revisar desde cero: tiene el diagnóstico del sistema como punto de partida, lo que concentra su atención en los aspectos que el sistema no puede evaluar -- la solidez del argumento disciplinario, la relevancia del aporte, la pertinencia del marco teórico.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Este protocolo de dos pasos tiene tres ventajas concretas. Reduce el tiempo de revisión del colega porque elimina la revisión de los problemas formales que el sistema ya identificó. Mejora la calidad de la revisión porque el colega puede concentrarse en lo que realmente importa. Y produce un registro documental del proceso de revisión que puede presentarse ante un editor como evidencia de rigor metodológico.</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4.5. Reflexión final del capítulo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Cuando empecé este proyecto, la pregunta era cómo usar la IA para producir. Hoy, después de construir y usar el sistema, la pregunta que me parece más interesante es cómo usar la IA para revisar. No porque producir no importe -- importa. Sino porque la revisión rigurosa es el eslabón más débil de la cadena científica latinoamericana, y es donde el sistema puede hacer su aporte más valioso.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Un sistema que produce artículos es una herramienta de productividad. Un sistema que audita artículos es una herramienta de calidad. La diferencia no es menor: la productividad sin calidad produce más de lo mismo más rápido. La calidad produce menos de lo mejor con más criterio. La academia latinoamericana necesita las dos cosas, pero si tuviera que elegir, necesita más lo segundo.</w:t>
      </w:r>
    </w:p>
    <w:p>
      <w:pPr>
        <w:spacing w:after="24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Referencias del capítulo</w:t>
      </w:r>
    </w:p>
    <w:p>
      <w:pPr>
        <w:spacing w:after="60" w:before="0" w:line="276"/>
      </w:pPr>
      <w:r>
        <w:rPr>
          <w:rFonts w:ascii="Times New Roman" w:cs="Times New Roman" w:eastAsia="Times New Roman" w:hAnsi="Times New Roman"/>
          <w:sz w:val="24"/>
          <w:szCs w:val="24"/>
        </w:rPr>
        <w:t xml:space="preserve"/>
      </w:r>
    </w:p>
    <w:p>
      <w:pPr>
        <w:spacing w:after="100" w:before="0" w:line="276"/>
        <w:ind w:left="720" w:hanging="720"/>
        <w:jc w:val="both"/>
      </w:pPr>
      <w:r>
        <w:rPr>
          <w:rFonts w:ascii="Times New Roman" w:cs="Times New Roman" w:eastAsia="Times New Roman" w:hAnsi="Times New Roman"/>
          <w:sz w:val="22"/>
          <w:szCs w:val="22"/>
        </w:rPr>
        <w:t xml:space="preserve">Anthropic (2026). Claude: AI assistant (claude-sonnet-4-6). Anthropic PBC.</w:t>
      </w:r>
    </w:p>
    <w:p>
      <w:pPr>
        <w:spacing w:after="100" w:before="0" w:line="276"/>
        <w:ind w:left="720" w:hanging="720"/>
        <w:jc w:val="both"/>
      </w:pPr>
      <w:r>
        <w:rPr>
          <w:rFonts w:ascii="Times New Roman" w:cs="Times New Roman" w:eastAsia="Times New Roman" w:hAnsi="Times New Roman"/>
          <w:sz w:val="22"/>
          <w:szCs w:val="22"/>
        </w:rPr>
        <w:t xml:space="preserve">Garrison, D. R., Anderson, T. y Archer, W. (2000). Critical inquiry in a text-based environment: Computer conferencing in higher education. The Internet and Higher Education, 2(2-3), 87-105.</w:t>
      </w:r>
    </w:p>
    <w:p>
      <w:pPr>
        <w:spacing w:after="100" w:before="0" w:line="276"/>
        <w:ind w:left="720" w:hanging="720"/>
        <w:jc w:val="both"/>
      </w:pPr>
      <w:r>
        <w:rPr>
          <w:rFonts w:ascii="Times New Roman" w:cs="Times New Roman" w:eastAsia="Times New Roman" w:hAnsi="Times New Roman"/>
          <w:sz w:val="22"/>
          <w:szCs w:val="22"/>
        </w:rPr>
        <w:t xml:space="preserve">Luckin, R. (2018). Machine learning and human intelligence: The future of education for the 21st century. UCL Institute of Education Press.</w:t>
      </w:r>
    </w:p>
    <w:p>
      <w:pPr>
        <w:spacing w:after="100" w:before="0" w:line="276"/>
        <w:ind w:left="720" w:hanging="720"/>
        <w:jc w:val="both"/>
      </w:pPr>
      <w:r>
        <w:rPr>
          <w:rFonts w:ascii="Times New Roman" w:cs="Times New Roman" w:eastAsia="Times New Roman" w:hAnsi="Times New Roman"/>
          <w:sz w:val="22"/>
          <w:szCs w:val="22"/>
        </w:rPr>
        <w:t xml:space="preserve">Rojas, C. y Chiappe, A. (2024). Ecosistemas digitales e inteligencia artificial en la educación superior latinoamericana. Edutec. Revista Electrónica de Tecnología Educativa, 87, 1-19.</w:t>
      </w:r>
    </w:p>
    <w:p>
      <w:pPr>
        <w:spacing w:after="100" w:before="0" w:line="276"/>
        <w:ind w:left="720" w:hanging="720"/>
        <w:jc w:val="both"/>
      </w:pPr>
      <w:r>
        <w:rPr>
          <w:rFonts w:ascii="Times New Roman" w:cs="Times New Roman" w:eastAsia="Times New Roman" w:hAnsi="Times New Roman"/>
          <w:sz w:val="22"/>
          <w:szCs w:val="22"/>
        </w:rPr>
        <w:t xml:space="preserve">Zawacki-Richter, O., Marín, V. I., Bond, M. y Gouverneur, F. (2019). Systematic review of research on artificial intelligence applications in higher education. International Journal of Educational Technology in Higher Education, 16, 39. https://doi.org/10.1186/s41239-019-0171-0</w:t>
      </w:r>
    </w:p>
    <w:p>
      <w:pPr>
        <w:spacing w:after="320" w:before="0" w:line="276"/>
      </w:pPr>
      <w:r>
        <w:rPr>
          <w:rFonts w:ascii="Times New Roman" w:cs="Times New Roman" w:eastAsia="Times New Roman" w:hAnsi="Times New Roman"/>
          <w:sz w:val="24"/>
          <w:szCs w:val="24"/>
        </w:rPr>
        <w:t xml:space="preserve"/>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Fin del Capítulo 4.
El Capítulo 5 desarrollará: Marco crítico y prospectivo — ética, desigualdad y estándares internacionales.
Espero sus observaciones para continuar.</w:t>
      </w:r>
    </w:p>
    <w:p>
      <w:r>
        <w:br w:type="page"/>
      </w:r>
    </w:p>
    <w:p>
      <w:pPr>
        <w:spacing w:after="200" w:before="400" w:line="276"/>
        <w:jc w:val="left"/>
      </w:pPr>
      <w:r>
        <w:rPr>
          <w:rFonts w:ascii="Times New Roman" w:cs="Times New Roman" w:eastAsia="Times New Roman" w:hAnsi="Times New Roman"/>
          <w:b/>
          <w:bCs/>
          <w:color w:val="000000"/>
          <w:sz w:val="28"/>
          <w:szCs w:val="28"/>
        </w:rPr>
        <w:t xml:space="preserve">Capítulo 5</w:t>
      </w:r>
    </w:p>
    <w:p>
      <w:pPr>
        <w:spacing w:after="240" w:before="0" w:line="276"/>
        <w:jc w:val="left"/>
      </w:pPr>
      <w:r>
        <w:rPr>
          <w:rFonts w:ascii="Times New Roman" w:cs="Times New Roman" w:eastAsia="Times New Roman" w:hAnsi="Times New Roman"/>
          <w:b/>
          <w:bCs/>
          <w:color w:val="1A2F4A"/>
          <w:sz w:val="32"/>
          <w:szCs w:val="32"/>
        </w:rPr>
        <w:t xml:space="preserve">Marco crítico y prospectivo: ética, desigualdad y nuevos paradigmas académicos</w:t>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«Usar IA bien exige más del investigador, no menos. Más conocimiento disciplinario. Más criterio crítico. Más honestidad sobre los límites.»
Manuel J. Sotomayor-Fernández</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Los cuatro capítulos anteriores miraron hacia adentro: el proceso de construir SciAgent, los errores cometidos, el protocolo propuesto y las posibilidades del sistema como revisor. Este capítulo mira hacia afuera. Hacia las preguntas que este proceso despertó y que ninguna herramienta puede responder por sí sola: {&lt;}qué significa para la academia latinoamericana que sistemas como SciAgent comiencen a proliferar? {&lt;}Quién se beneficia y quién queda excluido? {&lt;}Cómo cambia la noción de authoría, de rigor y de responsabilidad intelectual cuando el investigador no es el único que produce el texto?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Estas preguntas no tienen respuestas fáciles. Pero no tenerlas no es excusa para no formularlas. Un libro que narra una experiencia con IA sin reflexionar críticamente sobre sus implicaciones más amplias no cumple su responsabilidad académica. Este capítulo intenta cumplirla.</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5.1. La authoría compartida: un nuevo paradigma que la academia no ha resuelto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pregunta sobre quién escribe cuando un sistema de IA participa en la producción de un texto académico es, probablemente, la más urgente que enfrenta la academia en este momento. Y no tiene respuesta establecida, porque el fenómeno es demasiado nuevo y demasiado heterogéneo como para que una sola definición lo capture.</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Hay una diferencia fundamental entre pedirle a ChatGPT que corrija el estilo de un párrafo y diseñar un sistema de once agentes que produce artículos científicos completos bajo la dirección de un investigador. El primero es asistencia de redacción -- comparable al uso de un corrector ortográfico sofisticado. El segundo es un proceso de producción intelectual colaborativa que no tiene equivalente histórico claro.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Selwyn (2019) advirtió que la IA en educación no elimina la agencia humana sino que la redistribuye. Esa redistribución es exactamente lo que describe el concepto de authoría de proceso: el investigador ejerce su agencia en el diseño y la supervisión del proceso, no en la ejecución momento a momento. Es una forma de authoría nueva, pero no menor -- exige exactamente las competencias que la academia siempre ha valorado: conocimiento disciplinario profundo, criterio crítico, responsabilidad sobre los resultados.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problema es que las instituciones académicas -- revistas, universidades, comités de ética -- no han actualizado sus definiciones de authoría para acomodar esta realidad. Las normas actuales de la mayoría de revistas indexadas definen al autor como quien concibe el estudio, lo ejecuta, interpreta los resultados y asume la responsabilidad pública del producto. En el modelo de authoría de proceso, esas cuatro funciones siguen siendo humanas -- pero la ejecución de algunas de ellas está delegada a un sistema que el investigador diseñó y supervisa. {&lt;}Eso cuenta como authoría? La respuesta correcta no es sí o no -- es: depende del grado de control y responsabilidad que el investigador mantiene sobre el proceso.</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5.2. Ética en la producción científica asistida por IA</w:t>
      </w:r>
    </w:p>
    <w:p>
      <w:pPr>
        <w:spacing w:after="120" w:before="240" w:line="276"/>
        <w:jc w:val="left"/>
      </w:pPr>
      <w:r>
        <w:rPr>
          <w:rFonts w:ascii="Times New Roman" w:cs="Times New Roman" w:eastAsia="Times New Roman" w:hAnsi="Times New Roman"/>
          <w:b/>
          <w:bCs/>
          <w:color w:val="000000"/>
          <w:sz w:val="24"/>
          <w:szCs w:val="24"/>
        </w:rPr>
        <w:t xml:space="preserve">La declaración de uso de IA: de opcional a obligatoria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Cuando esta experiencia comenzó, la declaración del uso de IA en artículos científicos era una práctica emergente, adoptada por algunas revistas y rechazada por otras. La posición de este libro es clara: esa declaración debe ser obligatoria, explícita y detallada. No porque la IA sea un problema -- sino porque la transparencia es una condición de la integridad académica, independientemente de la herramienta utilizada.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declaración de uso de IA debería especificar, como mínimo: qué sistema se utilizó, para qué tareas específicas, qué proceso de validación human se aplicó sobre los outputs, y qué partes del texto son directamente atribuibles al investigador y cuáles pasaron por generación asistida. Esa declaración no debilita el artículo -- lo fortalece, porque demuestra que el investigador comprende y controla el proceso que usó.</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La propiedad intelectual del output: una pregunta sin respuesta clara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Si un sistema de IA produce un texto, {&lt;}a quién pertenece ese texto? La respuesta legal depende de la jurisdicción y está en permanente evolución. La respuesta ética, sin embargo, es más estable: pertenece al investigador que diseñó el proceso, aportó el conocimiento disciplinario, validó el output y asumió la responsabilidad pública del resultado. La propiedad intelectual no reside en quién produce las palabras -- reside en quién asume la responsabilidad de lo que esas palabras dicen.</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Esto tiene implicaciones prácticas importantes para la academia latinoamericana. Si un investigador usa SciAgent para producir un artículo, somete ese artículo a una revista y el artículo es aceptado, la responsabilidad de lo que el artículo afirma -- incluyendo los errores que el proceso de revisión no detectó -- recae completamente sobre el investigador. El sistema no puede ser demandado, sancionado ni retirado de una publicación. El investigador, sí.</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El plagio asistido por IA: una amenaza real</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Hay un riesgo ético que este libro no puede ignorar porque sería cómplice de él si lo callara: la posibilidad de que sistemas como SciAgent sean usados para fabricar artículos científicos sin el conocimiento disciplinario que este libro describe como condición necesaria. Un investigador sin ese conocimiento que usa el sistema para producir un artículo que no puede defender intelectualmente, que no puede responder a las preguntas de un revisor externo y que no asume la responsabilidad de sus afirmaciones, no es un investigador que usa IA: es un defraudador académico que usa IA como herramienta.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diferencia entre el uso responsable y el uso fraudulento de estos sistemas no está en la herramienta -- está en la actitud del investigador. Y esa diferencia no puede ser detectada automáticamente por ninguna plataforma de revisión de plagio, porque el texto producido puede ser técnicamente original y metodológicamente fraudulento al mismo tiempo.</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5.3. La desigualdad tecnológica: quién puede y quién no puede</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Hay una tensión que este libro arrastra desde el Prefacio y que este capítulo debe resolver: si el proceso es replicable para cualquier docente universitario con curiosidad disciplinada, {&lt;}por qué hay condiciones que solo algunos pueden cumplir?</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respuesta honesta es que hay una jerarquía de acceso. En la cima están los investigadores con conectividad estable, tarjeta de crédito internacional, dominio del inglés suficiente para navegar documentación técnica, y respaldo institucional para experimentar con herramientas nuevas. En la base están los investigadores con conectividad precaria, sin acceso a crédito internacional, en instituciones que penalizan la innovación métodológica y en regiones donde la infraestructura digital sigue siendo un proyecto pendiente.</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Luckin (2018) advirtió que las tecnologías de IA en educación tienden a reproducir y ampliar las desigualdades preexistentes si no se diseñan con criterios de equidad desde el inicio. En América Latina, esa advertencia tiene una urgencia particular. La región tiene universidades con acceso pleno a la frontera tecnológica y universidades que aún batallan con conexiones inestables y equipos obsoletos. Si los sistemas de IA para investigación benefician principalmente a las primeras, la brecha de calidad académica entre instituciones -- que ya es grande -- se ampliará todavía más.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respuesta a esa tensión no es negar que la brecha existe ni pretender que el acceso es universal. Es nombrarlo con precisión, diseñar soluciones que reduzcan la barrera de entrada -- código abierto, documentación en español, versiones optimizadas para bajo consumo de API -- y construir comunidades de práctica que permitan a los investigadores menos favorecidos acceder a las mismas herramientas a través de redes colaborativas. El repositorio de SciAgent en GitHub es un primer paso en esa dirección -- pero solo un primer paso.</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5.4. Los estándares internacionales y la academia latinoamericana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Las grandes revistas indexadas -- Nature, Science, Lancet, Cell -- ya tienen políticas explícitas sobre el uso de IA en la producción científica. Ninguna prohíbe el uso de IA como herramienta de apoyo. Todas exigen transparencia sobre cómo se usó, y ninguna acepta a la IA como co-autora -- porque la authoría implica responsabilidad, y un sistema no puede ser responsable.</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academia latinoamericana tiene la oportunidad -- y la responsabilidad -- de construir sus propios estándares antes de que los estándares lleguen impuestos desde afuera. Eso implica que las universidades, los comités de ética institucionales y las revistas regionales desarrollen políticas explícitas sobre el uso de IA en investigación que sean apropiadas para el contexto latinoamericano -- con sus recursos, sus tradiciones disciplinarias y sus prioridades académicas propias.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Rojas y Chiappe (2024) documentaron que la adopción acelerada de herramientas de IA en la investigación universitaria latinoamericana rara vez va acompañada de protocolos críticos de verificación. Este libro es un intento de contribuir a llenar ese vacío -- no con una política prescriptiva, sino con una experiencia documentada que otras instituciones pueden tomar como punto de partida para construir la suya.</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5.5. Un nuevo paradigma que apenas empieza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Hay algo que solo se entiende después de haber pasado por el proceso que este libro describe: la inteligencia artificial no cambia solo lo que los investigadores pueden hacer. Cambia cómo piensan sobre lo que hacen.</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Antes de construir SciAgent, la investigación era un proceso que comenzaba con una pregunta y terminaba con un texto. Después de construirlo, la investigación es un proceso que incluye el diseño del proceso mismo como objeto de reflexión metodológica. El investigador no solo decide qué investigar y cómo -- ahora también decide qué delegar, a qué sistema, bajo qué protocolos de supervisión y con qué criterios de validación.</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Esa complejidad adicional no es una carga. Es una oportunidad de profundizar la reflexividad metodológica que la buena ciencia siempre ha exigido. Un investigador que puede articular con precisión cómo usó la IA, qué decisions tomó el sistema y cuáles tomó él, y qué proceso de validación aplicó sobre los outputs, demuestra un nivel de rigor metodológico que va más allá de lo que la mayoría de artículos académicos exige hoy.</w:t>
      </w:r>
    </w:p>
    <w:p>
      <w:pPr>
        <w:spacing w:after="80" w:before="0" w:line="276"/>
      </w:pPr>
      <w:r>
        <w:rPr>
          <w:rFonts w:ascii="Times New Roman" w:cs="Times New Roman" w:eastAsia="Times New Roman" w:hAnsi="Times New Roman"/>
          <w:sz w:val="24"/>
          <w:szCs w:val="24"/>
        </w:rPr>
        <w:t xml:space="preserve"/>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«Un investigador que puede articular con precisión cómo usó la IA demuestra un nivel de rigor metodológico que va más allá de lo que la mayoría de artículos académicos exige hoy.»</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5.6. Reflexión final del capítulo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Las preguntas que este capítulo formuló -- sobre authoría, ética, desigualdad y estándares -- no tienen respuestas definitivas. Eso no las hace menos urgentes. Las tiene porque el campo está cambiando más rápido de lo que las instituciones académicas pueden responder, y porque los investigadores que ya están usando estas herramientas no pueden esperar a que las instituciones decidan qué es apropiado.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Lo que sí tiene respuesta es la pregunta con la que este libro comenzó: {&lt;}cómo puedo usar la IA para mi práctica docente y profesional? La respuesta que esta experiencia ofrece es: con conocimiento disciplinario profundo, con protocolos de validación explícitos, con transparencia sobre el proceso y con responsabilidad plena sobre los resultados. No como sustituto del investigador, sino como amplificador de lo que el investigador ya sabe hacer.</w:t>
      </w:r>
    </w:p>
    <w:p>
      <w:pPr>
        <w:spacing w:after="24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Referencias del capítulo</w:t>
      </w:r>
    </w:p>
    <w:p>
      <w:pPr>
        <w:spacing w:after="60" w:before="0" w:line="276"/>
      </w:pPr>
      <w:r>
        <w:rPr>
          <w:rFonts w:ascii="Times New Roman" w:cs="Times New Roman" w:eastAsia="Times New Roman" w:hAnsi="Times New Roman"/>
          <w:sz w:val="24"/>
          <w:szCs w:val="24"/>
        </w:rPr>
        <w:t xml:space="preserve"/>
      </w:r>
    </w:p>
    <w:p>
      <w:pPr>
        <w:spacing w:after="100" w:before="0" w:line="276"/>
        <w:ind w:left="720" w:hanging="720"/>
        <w:jc w:val="both"/>
      </w:pPr>
      <w:r>
        <w:rPr>
          <w:rFonts w:ascii="Times New Roman" w:cs="Times New Roman" w:eastAsia="Times New Roman" w:hAnsi="Times New Roman"/>
          <w:sz w:val="22"/>
          <w:szCs w:val="22"/>
        </w:rPr>
        <w:t xml:space="preserve">Luckin, R. (2018). Machine learning and human intelligence: The future of education for the 21st century. UCL Institute of Education Press.</w:t>
      </w:r>
    </w:p>
    <w:p>
      <w:pPr>
        <w:spacing w:after="100" w:before="0" w:line="276"/>
        <w:ind w:left="720" w:hanging="720"/>
        <w:jc w:val="both"/>
      </w:pPr>
      <w:r>
        <w:rPr>
          <w:rFonts w:ascii="Times New Roman" w:cs="Times New Roman" w:eastAsia="Times New Roman" w:hAnsi="Times New Roman"/>
          <w:sz w:val="22"/>
          <w:szCs w:val="22"/>
        </w:rPr>
        <w:t xml:space="preserve">Rojas, C. y Chiappe, A. (2024). Ecosistemas digitales e inteligencia artificial en la educación superior latinoamericana. Edutec. Revista Electrónica de Tecnología Educativa, 87, 1-19.</w:t>
      </w:r>
    </w:p>
    <w:p>
      <w:pPr>
        <w:spacing w:after="100" w:before="0" w:line="276"/>
        <w:ind w:left="720" w:hanging="720"/>
        <w:jc w:val="both"/>
      </w:pPr>
      <w:r>
        <w:rPr>
          <w:rFonts w:ascii="Times New Roman" w:cs="Times New Roman" w:eastAsia="Times New Roman" w:hAnsi="Times New Roman"/>
          <w:sz w:val="22"/>
          <w:szCs w:val="22"/>
        </w:rPr>
        <w:t xml:space="preserve">Selwyn, N. (2019). Should robots replace teachers? AI and the future of education. Polity Press.</w:t>
      </w:r>
    </w:p>
    <w:p>
      <w:pPr>
        <w:spacing w:after="100" w:before="0" w:line="276"/>
        <w:ind w:left="720" w:hanging="720"/>
        <w:jc w:val="both"/>
      </w:pPr>
      <w:r>
        <w:rPr>
          <w:rFonts w:ascii="Times New Roman" w:cs="Times New Roman" w:eastAsia="Times New Roman" w:hAnsi="Times New Roman"/>
          <w:sz w:val="22"/>
          <w:szCs w:val="22"/>
        </w:rPr>
        <w:t xml:space="preserve">Zawacki-Richter, O., Marín, V. I., Bond, M. y Gouverneur, F. (2019). Systematic review of research on artificial intelligence applications in higher education. International Journal of Educational Technology in Higher Education, 16, 39. https://doi.org/10.1186/s41239-019-0171-0</w:t>
      </w:r>
    </w:p>
    <w:p>
      <w:pPr>
        <w:spacing w:after="320" w:before="0" w:line="276"/>
      </w:pPr>
      <w:r>
        <w:rPr>
          <w:rFonts w:ascii="Times New Roman" w:cs="Times New Roman" w:eastAsia="Times New Roman" w:hAnsi="Times New Roman"/>
          <w:sz w:val="24"/>
          <w:szCs w:val="24"/>
        </w:rPr>
        <w:t xml:space="preserve"/>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Fin del Capítulo 5.
El Capítulo 6 desarrollará: Aplicaciones prácticas y casos de uso — docencia, investigación territorial, gestión de cuencas.
Espero sus observaciones para continuar.</w:t>
      </w:r>
    </w:p>
    <w:p>
      <w:r>
        <w:br w:type="page"/>
      </w:r>
    </w:p>
    <w:p>
      <w:pPr>
        <w:spacing w:after="200" w:before="400" w:line="276"/>
        <w:jc w:val="left"/>
      </w:pPr>
      <w:r>
        <w:rPr>
          <w:rFonts w:ascii="Times New Roman" w:cs="Times New Roman" w:eastAsia="Times New Roman" w:hAnsi="Times New Roman"/>
          <w:b/>
          <w:bCs/>
          <w:color w:val="000000"/>
          <w:sz w:val="28"/>
          <w:szCs w:val="28"/>
        </w:rPr>
        <w:t xml:space="preserve">Capítulo 6</w:t>
      </w:r>
    </w:p>
    <w:p>
      <w:pPr>
        <w:spacing w:after="240" w:before="0" w:line="276"/>
        <w:jc w:val="left"/>
      </w:pPr>
      <w:r>
        <w:rPr>
          <w:rFonts w:ascii="Times New Roman" w:cs="Times New Roman" w:eastAsia="Times New Roman" w:hAnsi="Times New Roman"/>
          <w:b/>
          <w:bCs/>
          <w:color w:val="1A2F4A"/>
          <w:sz w:val="32"/>
          <w:szCs w:val="32"/>
        </w:rPr>
        <w:t xml:space="preserve">Aplicaciones prácticas y casos de uso: el investigador como guía del proceso</w:t>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«La fusión entre la herramienta de apoyo y el investigador no es una metáfora. Es la condición de posibilidad de todo lo que este capítulo describe. Ninguno de estos trabajos existía antes del proceso. Todos ellos existen porque el investigador dirigió cada decisión crítica.»
Manuel J. Sotomayor-Fernández</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Los cinco capítulos anteriores construyeron el argumento de este libro de manera progresiva: el asombro inicial, el testimonio honesto, el protocolo metodológico, el sistema como revisor y el marco crítico. Este capítulo hace algo diferente: muestra cómo todo eso funciona en la práctica cotidiana de un docente e investigador universitario en Piura, Perú.</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Los casos que se presentan aquí no son éxitos consumados ni productos terminados. Son procesos vivos: trabajos en revisión, en validación, en corrección. Y precisamente por eso son útiles -- porque muestran la investigación tal como ocurre, no como se presenta cuando ya está publicada. El investigador no es un usuario que recibe productos del sistema. Es el guía que conduce el proceso, que valida cada paso y que asume la responsabilidad del resultado final. La validación no es un obstáculo en el camino al éxito -- es parte constitutiva del éxito mismo.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Hay un denominador común que atraviesa todos los casos que este capítulo describe: la fusión entre la herramienta de apoyo y el investigador. Ninguno de estos trabajos fue producido solo por el sistema. Ninguno fue producido solo por el investigador. Todos emergieron de una colaboración donde el sistema ejecutó con velocidad y precisión, y el investigador orientó, corrigió, validó y asumió la responsabilidad de lo que el proceso producía.</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6.1. La docencia universitaria: el investigador como asesor más efectivo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asesoría de tesis es la tarea académica más exigente en tiempo dentro de la universidad peruana. El asesor promedio tiene entre cinco y quince tesistas simultáneos, cada uno en una etapa diferente, con niveles de avance distintos y con necesidades de retroalimentación que rara vez pueden atenderse con la profundidad que el proceso requiere.</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sistema no resolvió ese problema. Lo transformó. Y la transformación no fue técnica -- fue metodológica: el sistema le devuelve al asesor el tiempo que antes se invertía en identificar los problemas, para que ese tiempo se invierta en lo que realmente importa: las decisiones intelectuales que ningún sistema puede tomar por él.</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La tesis sobre estrategias didácticas y EVA: un proceso de revisión, validación y corrección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Una tesis de maestía sobre estrategias didácticas y entornos virtuales de aprendizaje fue sometida a un proceso sistemático de revisión con el sistema. Lo que ocurrió no fue la generación automática de un capítulo -- fue un ciclo de diagnóstico, corrección y validación que el asesor condujo paso a paso.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sistema identificó tres problemas que la revisión manual habría tardado horas en encontrar: la sección de evolución histórica de los EVA carecía de fuentes previas a 2010, dejando un vacío de cinco décadas; la definición de estrategias didácticas citó la misma fuente cuatro veces en dos páginas; y las categorías de análisis no tenían el desarrollo mínimo exigido por el programa. Esos fueron los diagnósticos. Lo que siguió -- identificar las fuentes correctas, verificar su existencia, redactar los párrafos con precisión académica y asegurarse de que cada afirmación tuviera respaldo -- fue trabajo del asesor y del sistema juntos, bajo la dirección del asesor.</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resultado fue un capítulo II con 42 referencias en formato APA 7, evoluciones históricas de ambas variables con fuentes verificadas, y cinco categorías de análisis desarrolladas en dos páginas cada una. Ese resultado no se logró porque el sistema lo produjo solo. Se logró porque el asesor supo qué pedir, cómo verificar lo que recibió y cuándo intervenir para corregir el rumbo.</w:t>
      </w:r>
    </w:p>
    <w:p>
      <w:pPr>
        <w:spacing w:after="80" w:before="0" w:line="276"/>
      </w:pPr>
      <w:r>
        <w:rPr>
          <w:rFonts w:ascii="Times New Roman" w:cs="Times New Roman" w:eastAsia="Times New Roman" w:hAnsi="Times New Roman"/>
          <w:sz w:val="24"/>
          <w:szCs w:val="24"/>
        </w:rPr>
        <w:t xml:space="preserve"/>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«El sistema detectó los problemas. El asesor decidió las soluciones. Esa división del trabajo -- diagnóstico para el sistema, juicio para el investigador -- es la que hace posible la fusión.»</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6.2. La investigación académica: cinco trabajos en proceso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Los trabajos de investigación que este capítulo describe no son artículos publicados. Son procesos. Eso es importante porque la narrativa del éxito instantáneo -- el artículo que sale perfecto de la primera sesión, sin revisión ni corrección -- es precisamente la narrativa que este libro quiere corregir. El éxito en la investigación asistida por IA no se mide por la velocidad de la producción. Se mide por la calidad del proceso de validación que el investigador conduce.</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El artículo sobre Estado, nación y desafíos estructurales en el Perú: validado y listo para publicación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De los cinco trabajos que este capítulo describe, este es el único que ha completado su ciclo de revisión y está listo para su envío a revista. El proceso de validación que lo llevó a ese estado es ilustrativo de lo que significa la fusión entre investigador y herramienta.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argumento central del artículo -- que la fractura entre Estado y nación en el Perú no es una anomalía histórica sino un equilibrio político sostenido activamente por sectores dominantes durante dos siglos -- requirió que el investigador aportara el marco teórico de Quijano (2000) sobre colonialidad del poder, la distinción entre Virreinato y colonia de Alvarado Dodero (2017) y O'Phelan Godoy (2012), y la crítica a Dargent (2012) sobre capacidad estatal diferenciada. Fue el investigador quien detectó que el sistema había usado el término «colonia» sin la precisión historiográfica que el argumento requería. Fue el investigador quien aportó la corrección. El sistema la integró con fluidez académica.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Ese ciclo -- producción, detección del error, corrección, reintegración -- se repitió múltiples veces a lo largo del proceso. El resultado es un artículo con cinco autores desde cinco disciplinas distintas, 19 referencias verificadas y un argumento que ninguno de los cinco autores hubiera producido solo ni el sistema hubiera producido sin ellos. La validación no fue el último paso -- fue el proceso mismo.</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El artículo del Índice de Curvatura Social (ICS): en proceso de revisión y validación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ICS es la contribución metodológica más original de este proceso. Combina redes neuronales informadas por física (PINNs) con un Hamiltoniano Social para modelar la exclusión territorial en los 33 distritos rurales de Piura. Los datos -- ejecución presupuestal, NBI, ingreso per cápita, acceso a internet, tasas de anemia -- fueron aportados por el investigador desde archivos de campo propios y fuentes oficiales del MEF, el BCRP y el GORE Piura.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artículo está en proceso de revisión y validación. Eso no significa que el trabajo esté incompleto -- significa que el investigador está ejerciendo la responsabilidad que le corresponde. La validación convergente (r = -0.71 con el IDH; r = 0.68 con el NBI) fue realizada por el investigador sobre los datos reales, no generada por el sistema. La nota metodológica que distingue entre datos aportados y construcciones del modelo está siendo revisada para garantizar que el lector pueda saber exactamente cuál es cuál. Ese nivel de precisión no es burocracia académica -- es la condición que convierte un artículo interesante en un artículo científicamente sólido.</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El artículo sobre planeamiento estratégico en Piura: en proceso de revisión y validación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segundo artículo aplicó el Índice de Brecha de Implementación (IBI) al PDC Piura 2022-2030. El hallazgo central -- una brecha media del 31%, con variaciones del 18% en infraestructura física al 52% en fortalecimiento institucional -- fue calculado por el investigador sobre datos del MEF y el Siseplan, no generado por el sistema. El sistema produjo el argumento académico que convierte ese hallazgo en contribución teórica.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artículo está en proceso de revisión. La revisión no es un signo de debilidad del proceso -- es la expresión de que el investigador está cumpliendo con la responsabilidad que asumió cuando decidió firmar el artículo con su nombre. Cada dato está siendo verificado. Cada referencia está siendo confirmada. Cada argumento está siendo evaluado frente a la literatura existente. Eso es lo que hace al investigador el guía del proceso, no un usuario pasivo de la herramienta.</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6.3. La investigación territorial: herramienta y conocimiento situado</w:t>
      </w:r>
    </w:p>
    <w:p>
      <w:pPr>
        <w:spacing w:after="120" w:before="240" w:line="276"/>
        <w:jc w:val="left"/>
      </w:pPr>
      <w:r>
        <w:rPr>
          <w:rFonts w:ascii="Times New Roman" w:cs="Times New Roman" w:eastAsia="Times New Roman" w:hAnsi="Times New Roman"/>
          <w:b/>
          <w:bCs/>
          <w:color w:val="000000"/>
          <w:sz w:val="24"/>
          <w:szCs w:val="24"/>
        </w:rPr>
        <w:t xml:space="preserve">La Unidad Regional de Prospectiva: en proceso de revisión y validación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propuesta técnica para la Unidad Regional de Prospectiva del GORE Piura -- con presupuesto referencial de S/ 1,298,250 -- fue elaborada integrando información del CEPLAN y la experiencia del modelo de Singapur en planificación estratégica a largo plazo. El sistema organizó esa información en un documento con estructura metodológica basada en los estándares del Sinaplan. El investigador aportó el marco normativo -- la Ley 27867, el DL 1088, la Directiva CEPLAN 001-2024 -- y el conocimiento institucional sobre cómo funciona el GORE Piura en la práctica.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propuesta está en proceso de revisión y validación con actores institucionales. Ese proceso de validación no es un trámite -- es el momento en que el conocimiento académico se contrasta con la realidad institucional. Es el momento en que el investigador, que conoce el territorio, le pide al documento que rindan cuentas a quienes van a implementarlo. Ninguna herramienta puede hacer eso. Solo el investigador situado puede.</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El sistema de monitoreo del Fenómeno El Niño: en proceso de revisión y validación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El sistema de alerta temprana multiagente para el Fenómeno El Niño -- con agentes especializados en monitoreo hidrológico, alertas por niveles SAT y reportes al GORE Piura -- enfrenta un tipo de desafío distinto: no sólo académico sino técnico. El proceso de desarrollo encontró problemas con la configuración del entorno de trabajo (el cmd de Windows) que interrumpieron el flujo y obligaron al investigador a diagnosticar, corregir y retomar.</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Ese tipo de interrupción no es una anomalía del proceso -- es parte de él. Y la manera en que el investigador la enfrenta -- con diagnóstico sistemático, sin abandonar el objetivo -- es lo que determina si el proceso termina o no. El sistema está en proceso de revisión y validación con datos reales de las cuencas piuranas. Cuando ese proceso concluya, el resultado será un instrumento de gestión del riesgo que podría salvar vidas en la próxima emergencia climática. Ese es el valor de la fusión entre herramienta y conocimiento situado: no el artículo publicado, sino el impacto real en el territorio.</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6.4. El denominador común: investigador + herramienta = proceso con valor</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Hay un patrón que atraviesa todos los casos descritos en este capítulo. No es la velocidad de producción ni la cantidad de páginas generadas. Es la calidad de la fusión entre el investigador y la herramienta.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En cada caso, el investigador aportó lo que el sistema no tiene: el conocimiento disciplinario profundo, el dato de campo verificado, la precisión historiográfica crítica, el marco normativo institucional, la capacidad de detectar el error antes de que llegue al lector. Y en cada caso, el sistema aportó lo que el investigador por sí solo no puede hacer en el tiempo disponible: organizar grandes volúmenes de información heterogénea, redactar con fluidez académica, proponer marcos teóricos, detectar inconsistencias formales, emitir diagnósticos estructurados.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validación -- ese proceso que en la narrativa del éxito instantáneo aparece como un obstáculo -- es en realidad la más importante de las contribuciones del investigador al proceso. Es el momento en que el conocimiento humano ejerce su soberanía sobre la herramienta. Es el momento en que el investigador dice: esto está bien, esto necesita corrección, esto no es lo que yo conozco sobre el territorio. Esa soberanía es lo que convierte el output del sistema en un producto científico con valor.</w:t>
      </w:r>
    </w:p>
    <w:p>
      <w:pPr>
        <w:spacing w:after="80" w:before="0" w:line="276"/>
      </w:pPr>
      <w:r>
        <w:rPr>
          <w:rFonts w:ascii="Times New Roman" w:cs="Times New Roman" w:eastAsia="Times New Roman" w:hAnsi="Times New Roman"/>
          <w:sz w:val="24"/>
          <w:szCs w:val="24"/>
        </w:rPr>
        <w:t xml:space="preserve"/>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«El éxito no es la velocidad de la producción. Es la calidad de la validación. Y la validación es siempre responsabilidad del investigador.»</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6.5. Lo que estos casos enseñan para la práctica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Los cinco trabajos descritos en este capítulo comparten una lección que ninguno enseña por separado pero que todos enseñan juntos: el valor del proceso no está en el número de páginas generadas ni en la velocidad con que el sistema las produce. Está en la solidez del proceso de validación que el investigador conduce.</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Un artículo en proceso de revisión es un artículo cuyo investigador está cumpliendo con su responsabilidad. Una propuesta en proceso de validación institucional es una propuesta cuyo autor conoce que el conocimiento académico solo tiene valor cuando se contrasta con la realidad que pretende describir. Un sistema en proceso de corrección técnica es un sistema cuyo desarrollador entiende que la herramienta no es el fin -- es el medio.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IA ya está en Piura. Ya está en las aulas de UTP, en los procesos de consultoría del GORE, en los proyectos de investigación que buscan entender el territorio piurano con nuevas herramientas. La pregunta no es si llegará -- ya llegó. La pregunta es si los investigadores que ya la están usando saben que su valor no está en la herramienta. Está en ellos.</w:t>
      </w:r>
    </w:p>
    <w:p>
      <w:pPr>
        <w:spacing w:after="24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Referencias del capítulo</w:t>
      </w:r>
    </w:p>
    <w:p>
      <w:pPr>
        <w:spacing w:after="60" w:before="0" w:line="276"/>
      </w:pPr>
      <w:r>
        <w:rPr>
          <w:rFonts w:ascii="Times New Roman" w:cs="Times New Roman" w:eastAsia="Times New Roman" w:hAnsi="Times New Roman"/>
          <w:sz w:val="24"/>
          <w:szCs w:val="24"/>
        </w:rPr>
        <w:t xml:space="preserve"/>
      </w:r>
    </w:p>
    <w:p>
      <w:pPr>
        <w:spacing w:after="100" w:before="0" w:line="276"/>
        <w:ind w:left="720" w:hanging="720"/>
        <w:jc w:val="both"/>
      </w:pPr>
      <w:r>
        <w:rPr>
          <w:rFonts w:ascii="Times New Roman" w:cs="Times New Roman" w:eastAsia="Times New Roman" w:hAnsi="Times New Roman"/>
          <w:sz w:val="22"/>
          <w:szCs w:val="22"/>
        </w:rPr>
        <w:t xml:space="preserve">Alvarado Dodero, F. (2017). Los conceptos virreinato y colonia en el sujeto histórico Perú. Tesis doctoral, Universidad Pablo de Olavide, Sevilla.</w:t>
      </w:r>
    </w:p>
    <w:p>
      <w:pPr>
        <w:spacing w:after="100" w:before="0" w:line="276"/>
        <w:ind w:left="720" w:hanging="720"/>
        <w:jc w:val="both"/>
      </w:pPr>
      <w:r>
        <w:rPr>
          <w:rFonts w:ascii="Times New Roman" w:cs="Times New Roman" w:eastAsia="Times New Roman" w:hAnsi="Times New Roman"/>
          <w:sz w:val="22"/>
          <w:szCs w:val="22"/>
        </w:rPr>
        <w:t xml:space="preserve">CEPLAN (2024). Guía para la elaboración de indicadores de políticas nacionales y planes estratégicos. Centro Nacional de Planeamiento Estratégico.</w:t>
      </w:r>
    </w:p>
    <w:p>
      <w:pPr>
        <w:spacing w:after="100" w:before="0" w:line="276"/>
        <w:ind w:left="720" w:hanging="720"/>
        <w:jc w:val="both"/>
      </w:pPr>
      <w:r>
        <w:rPr>
          <w:rFonts w:ascii="Times New Roman" w:cs="Times New Roman" w:eastAsia="Times New Roman" w:hAnsi="Times New Roman"/>
          <w:sz w:val="22"/>
          <w:szCs w:val="22"/>
        </w:rPr>
        <w:t xml:space="preserve">ComexPerú (2026). Conectividad y brecha digital en regiones del Perú: Informe 2025-2026. Sociedad de Comercio Exterior del Perú.</w:t>
      </w:r>
    </w:p>
    <w:p>
      <w:pPr>
        <w:spacing w:after="100" w:before="0" w:line="276"/>
        <w:ind w:left="720" w:hanging="720"/>
        <w:jc w:val="both"/>
      </w:pPr>
      <w:r>
        <w:rPr>
          <w:rFonts w:ascii="Times New Roman" w:cs="Times New Roman" w:eastAsia="Times New Roman" w:hAnsi="Times New Roman"/>
          <w:sz w:val="22"/>
          <w:szCs w:val="22"/>
        </w:rPr>
        <w:t xml:space="preserve">Dargent, E. (2012). El Estado en el Perú: Una agenda de investigación. Debates en Sociología, 37, 181-198.</w:t>
      </w:r>
    </w:p>
    <w:p>
      <w:pPr>
        <w:spacing w:after="100" w:before="0" w:line="276"/>
        <w:ind w:left="720" w:hanging="720"/>
        <w:jc w:val="both"/>
      </w:pPr>
      <w:r>
        <w:rPr>
          <w:rFonts w:ascii="Times New Roman" w:cs="Times New Roman" w:eastAsia="Times New Roman" w:hAnsi="Times New Roman"/>
          <w:sz w:val="22"/>
          <w:szCs w:val="22"/>
        </w:rPr>
        <w:t xml:space="preserve">Evans, P. (1995). Embedded autonomy: States and industrial transformation. Princeton University Press.</w:t>
      </w:r>
    </w:p>
    <w:p>
      <w:pPr>
        <w:spacing w:after="100" w:before="0" w:line="276"/>
        <w:ind w:left="720" w:hanging="720"/>
        <w:jc w:val="both"/>
      </w:pPr>
      <w:r>
        <w:rPr>
          <w:rFonts w:ascii="Times New Roman" w:cs="Times New Roman" w:eastAsia="Times New Roman" w:hAnsi="Times New Roman"/>
          <w:sz w:val="22"/>
          <w:szCs w:val="22"/>
        </w:rPr>
        <w:t xml:space="preserve">MEF (2025). Consulta Amigable -- Ejecución del Gasto, Región Piura 2022-2025. Ministerio de Economía y Finanzas.</w:t>
      </w:r>
    </w:p>
    <w:p>
      <w:pPr>
        <w:spacing w:after="100" w:before="0" w:line="276"/>
        <w:ind w:left="720" w:hanging="720"/>
        <w:jc w:val="both"/>
      </w:pPr>
      <w:r>
        <w:rPr>
          <w:rFonts w:ascii="Times New Roman" w:cs="Times New Roman" w:eastAsia="Times New Roman" w:hAnsi="Times New Roman"/>
          <w:sz w:val="22"/>
          <w:szCs w:val="22"/>
        </w:rPr>
        <w:t xml:space="preserve">O'Phelan Godoy, S. (2012). La independencia del Perú: De los Borbones a Bolívar. IEP.</w:t>
      </w:r>
    </w:p>
    <w:p>
      <w:pPr>
        <w:spacing w:after="100" w:before="0" w:line="276"/>
        <w:ind w:left="720" w:hanging="720"/>
        <w:jc w:val="both"/>
      </w:pPr>
      <w:r>
        <w:rPr>
          <w:rFonts w:ascii="Times New Roman" w:cs="Times New Roman" w:eastAsia="Times New Roman" w:hAnsi="Times New Roman"/>
          <w:sz w:val="22"/>
          <w:szCs w:val="22"/>
        </w:rPr>
        <w:t xml:space="preserve">Quijano, A. (2000). Colonialidad del poder, eurocentrismo y América Latina. En E. Lander (Ed.), La colonialidad del saber (pp. 201-246). CLACSO.</w:t>
      </w:r>
    </w:p>
    <w:p>
      <w:pPr>
        <w:spacing w:after="320" w:before="0" w:line="276"/>
      </w:pPr>
      <w:r>
        <w:rPr>
          <w:rFonts w:ascii="Times New Roman" w:cs="Times New Roman" w:eastAsia="Times New Roman" w:hAnsi="Times New Roman"/>
          <w:sz w:val="24"/>
          <w:szCs w:val="24"/>
        </w:rPr>
        <w:t xml:space="preserve"/>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Fin del Capítulo 6 (versión revisada).
El Capítulo 7 — Agenda latinoamericana y visión de futuro — cierra el libro.
Espero sus observaciones para continuar.</w:t>
      </w:r>
    </w:p>
    <w:p>
      <w:r>
        <w:br w:type="page"/>
      </w:r>
    </w:p>
    <w:p>
      <w:pPr>
        <w:spacing w:after="200" w:before="400" w:line="276"/>
        <w:jc w:val="left"/>
      </w:pPr>
      <w:r>
        <w:rPr>
          <w:rFonts w:ascii="Times New Roman" w:cs="Times New Roman" w:eastAsia="Times New Roman" w:hAnsi="Times New Roman"/>
          <w:b/>
          <w:bCs/>
          <w:color w:val="000000"/>
          <w:sz w:val="28"/>
          <w:szCs w:val="28"/>
        </w:rPr>
        <w:t xml:space="preserve">Capítulo 7</w:t>
      </w:r>
    </w:p>
    <w:p>
      <w:pPr>
        <w:spacing w:after="240" w:before="0" w:line="276"/>
        <w:jc w:val="left"/>
      </w:pPr>
      <w:r>
        <w:rPr>
          <w:rFonts w:ascii="Times New Roman" w:cs="Times New Roman" w:eastAsia="Times New Roman" w:hAnsi="Times New Roman"/>
          <w:b/>
          <w:bCs/>
          <w:color w:val="1A2F4A"/>
          <w:sz w:val="32"/>
          <w:szCs w:val="32"/>
        </w:rPr>
        <w:t xml:space="preserve">Agenda latinoamericana y visión de futuro: soberanía tecnológica y formación de investigadores</w:t>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«La IA ya está aquí y no se va a ir. La pregunta no es si la academia latinoamericana va a usarla. La pregunta es si va a usarla bien, en sus propios términos, con sus propios protocolos y para sus propias preguntas.»
Manuel J. Sotomayor-Fernández</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Este es el último capítulo del libro. Y es el que mira más lejos: no hacia el proceso que este libro describió, sino hacia lo que ese proceso sugiere sobre el futuro de la investigación académica en América Latina.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experiencia narrada en estas páginas es la de un investigador social en Piura, Perú. Pero las preguntas que esa experiencia plantea no son regionales. Son preguntas que cualquier universidad latinoamericana que quiera estar a la altura de su momento histórico debería estar haciendóse: {&lt;}cómo formamos investigadores que sepan usar la IA sin ser controlados por ella? {&lt;}Cómo construimos soberanía tecnológica en un contexto donde los sistemas más poderosos son propiedad de empresas del norte global? {&lt;}Cómo garantizamos que la revolución de la IA en la academia latinoamericana no reproduzca y amplíe las desigualdades que ya existen?</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Esas preguntas no tienen respuesta fácil. Pero no tenerla no es excusa para no formularlas con urgencia.</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7.1. Brechas tecnológicas: el mapa de lo que falta</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América Latina llega a la era de la IA con una deuda tecnológica acumulada de décadas. La conectividad es desigual: según datos de la CEPAL, la brecha entre zonas urbanas y rurales en acceso a internet sigue siendo superior al 30% en la mayoría de países de la región. Los equipos de cómputo disponibles en muchas universidades públicas latinoamericanas no están en condiciones de ejecutar modelos de lenguaje de gran escala de manera local. Y el costo de acceso a las APIs de los sistemas más potentes -- Anthropic, OpenAI, Google Gemini -- está denominado en dólares, en un continente donde la mayoría de los presupuestos institucionales están en monedas locales con capacidades adquisitivas muy distintas.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Esas brechas no son abstractas. En Piura, el proyecto de instalación de banda ancha alcanza menos del 40% de avance (ComexPerú, 2026). En muchas universidades públicas del interior del país, el acceso a bases de datos académicas indexadas depende de suscripciones institucionales que no siempre se renuevan. Y el conocimiento para navegar la documentación técnica de los sistemas de IA -- que está predominantemente en inglés -- es todavía un privilegio de quienes tuvieron acceso a formación lingúística de calidad.</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Nombrar esas brechas no es pesimismo -- es el primer paso para cerrarlas. Y cerrarlas no requiere esperar a que la infraestructura llegue desde arriba: requiere que los investigadores que ya tienen acceso compartan lo que saben, documenten sus procesos en español, publiquen sus códigos en repositorios abiertos y construyan redes de colaboración que permitan a quienes tienen menos recursos acceder a los mismos resultados.</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7.2. Soberanía tecnológica: el derecho a tener nuestras propias preguntas</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Hay una dimensión del debate sobre IA en América Latina que rara vez se nombra con la claridad que merece: el riesgo de que la adopción acrítica de sistemas diseñados en el norte global reproduzca, a nivel epistemológico, las mismas relaciones de dependencia que la colonialidad del poder instaló a nivel político y económico.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Los modelos de lenguaje de gran escala fueron entrenados predominantemente con textos en inglés, producidos en contextos institucionales del norte global, que reflejan las preguntas, los métodos y los valores de esas tradiciones académicas. Cuando un investigador latinoamericano le pide a uno de esos modelos que le sugiera el marco teórico más adecuado para estudiar la exclusión territorial en Perú, el modelo va a recurrir a las teorías que tiene mejor representadas en su entrenamiento -- que no necesariamente son las más pertinentes para ese contexto.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soberanía tecnológica no significa rechazar la IA. Significa usarla de manera que nuestras preguntas, nuestros datos y nuestros marcos teóricos -- los de la sociología latinoamericana, la ecología política andina, la planificación territorial desde el sur -- sean los que le den dirección al sistema, no al revés. SciAgent es un intento, todavía incipiente, de construir esa soberanía: un sistema construido por un investigador latinoamericano, para preguntas latinoamericanas, con datos latinoamericanos, publicado en código abierto para que otros investigadores latinoamericanos puedan adaptarlo a sus propios contextos.</w:t>
      </w:r>
    </w:p>
    <w:p>
      <w:pPr>
        <w:spacing w:after="80" w:before="0" w:line="276"/>
      </w:pPr>
      <w:r>
        <w:rPr>
          <w:rFonts w:ascii="Times New Roman" w:cs="Times New Roman" w:eastAsia="Times New Roman" w:hAnsi="Times New Roman"/>
          <w:sz w:val="24"/>
          <w:szCs w:val="24"/>
        </w:rPr>
        <w:t xml:space="preserve"/>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«Soberanía tecnológica no significa rechazar la IA. Significa usarla de manera que nuestras preguntas le den dirección al sistema, no al revés.»</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7.3. Formación de investigadores del futuro</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pregunta más urgente para las universidades latinoamericanas no es cómo regular el uso de IA -- eso vendrá con el tiempo. La pregunta más urgente es cómo formar investigadores que sepan usarla bien.</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Ese tipo de formación no cabe en un curso de herramientas digitales ni en un taller de dos horas sobre «cómo usar ChatGPT para tu tesis». Requiere algo más profundo: una transformación en la manera en que los programas de posgrado conciben la competencia metodológica.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Hoy, la competencia metodológica se define principalmente como la capacidad de diseñar estudios, recolectar datos, aplicar técnicas de análisis y redactar resultados. En el mundo en que los investigadores del futuro van a trabajar, esa definición es insuficiente. La competencia metodológica del siglo XXI incluye, además, la capacidad de diseñar procesos asistidos por IA, supervisar sus outputs con criterio crítico, validar sus resultados con protocoles explícitos y declarar con transparencia cómo se usó el sistema y qué responsabilidades asume el investigador sobre el producto final.</w:t>
      </w:r>
    </w:p>
    <w:p>
      <w:pPr>
        <w:spacing w:after="8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Lo que deben saber los investigadores del futuro</w:t>
      </w:r>
    </w:p>
    <w:p>
      <w:pPr>
        <w:spacing w:after="8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Primero: conocer las limitaciones de los sistemas de IA antes de usarlos. Las alucinaciones, los sesgos de confirmación, la dependencia tecnológica y los riesgos éticos no son problemas que se aprenden cuando ya ocurrieron -- deben conocerse antes de que ocurran.</w:t>
      </w:r>
    </w:p>
    <w:p>
      <w:pPr>
        <w:spacing w:after="8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Segundo: mantener el conocimiento disciplinario como condición de uso. Un investigador que no domina su campo no puede detectar los errores del sistema. La IA amplifica el conocimiento existente -- no lo crea desde cero.</w:t>
      </w:r>
    </w:p>
    <w:p>
      <w:pPr>
        <w:spacing w:after="8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Tercero: desarrollar protocolos de validación propios, adaptados a su disciplina y a su contexto institucional. Los protocolos universales son puntos de partida, no recetas definitivas.</w:t>
      </w:r>
    </w:p>
    <w:p>
      <w:pPr>
        <w:spacing w:after="8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Cuarto: practicar la transparencia como valor, no como formalidad. Declarar el uso de IA, publicar los códigos, documentar los procesos -- no porque lo exija la revista, sino porque es la única postura intelectualmente honesta.</w:t>
      </w:r>
    </w:p>
    <w:p>
      <w:pPr>
        <w:spacing w:after="80" w:before="0" w:line="276"/>
        <w:ind w:left="720" w:right="720"/>
        <w:jc w:val="both"/>
      </w:pPr>
      <w:r>
        <w:rPr>
          <w:rFonts w:ascii="Times New Roman" w:cs="Times New Roman" w:eastAsia="Times New Roman" w:hAnsi="Times New Roman"/>
          <w:b w:val="false"/>
          <w:bCs w:val="false"/>
          <w:i w:val="false"/>
          <w:iCs w:val="false"/>
          <w:color w:val="000000"/>
          <w:sz w:val="24"/>
          <w:szCs w:val="24"/>
        </w:rPr>
        <w:t xml:space="preserve">Quinto: aprender haciendo, con disposición a equivocarse y a documentar los errores. El conocimiento que produce el error es, con frecuencia, más valioso que el que produce el éxito.</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7.4. Ecosistemas colaborativos: la agenda que viene</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Ningún investigador construye soberanía tecnológica solo. El paso siguiente a lo que este libro describe es la construcción de ecosistemas colaborativos -- redes de investigadores latinoamericanos que compartan códigos, protocolos, datos y experiencias -- que permitan que los avances de uno sean el punto de partida del siguiente.</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SciAgent está en GitHub. Eso no es un dato técnico -- es una decisión política. Cualquier investigador latinoamericano con acceso a internet puede clonarlo, adaptarlo a su disciplina, mejorarlo y publicar esa mejora para que otros la usen. Ese modelo de desarrollo colaborativo y abierto es la respuesta más eficaz a la brecha tecnológica: no esperar a que la infraestructura llegue desde arriba, sino construir desde abajo las herramientas que la región necesita.</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Las líneas de acción que este libro propone para esa agenda son cinco. La primera es la creación de repositorios de sistemas multiagente en español, adaptados a los contextos disciplinarios e institucionales de América Latina. La segunda es el desarrollo de protocolos de validación específicos para las disciplinas que más usan IA -- ciencias sociales, educación, salud pública, gestión ambiental. La tercera es la incorporación explícita de la competencia en IA crítica en los programas de posgrado de la región. La cuarta es la construcción de redes de revisión cruzada humano-IA entre pares académicos de distintas instituciones. Y la quinta -- la más urgente -- es el debate público dentro de las universidades sobre los límites éticos del uso de IA en la producción científica, antes de que esos límites sean definidos por otros.</w:t>
      </w:r>
    </w:p>
    <w:p>
      <w:pPr>
        <w:spacing w:after="160" w:before="0" w:line="276"/>
      </w:pPr>
      <w:r>
        <w:rPr>
          <w:rFonts w:ascii="Times New Roman" w:cs="Times New Roman" w:eastAsia="Times New Roman" w:hAnsi="Times New Roman"/>
          <w:sz w:val="24"/>
          <w:szCs w:val="24"/>
        </w:rPr>
        <w:t xml:space="preserve"/>
      </w:r>
    </w:p>
    <w:p>
      <w:pPr>
        <w:spacing w:after="160" w:before="320" w:line="276"/>
        <w:jc w:val="left"/>
      </w:pPr>
      <w:r>
        <w:rPr>
          <w:rFonts w:ascii="Times New Roman" w:cs="Times New Roman" w:eastAsia="Times New Roman" w:hAnsi="Times New Roman"/>
          <w:b/>
          <w:bCs/>
          <w:color w:val="000000"/>
          <w:sz w:val="26"/>
          <w:szCs w:val="26"/>
        </w:rPr>
        <w:t xml:space="preserve">7.5. Reflexión final: un libro que es una invitación</w:t>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Este libro comenzó con una pregunta simple: {&lt;}cómo puedo usar la IA para mi práctica docente y profesional? Y terminó -- siete capítulos después -- con una propuesta de agenda regional que va mucho más allá de esa pregunta inicial.</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Ese recorrido -- del asombro individual a la propuesta colectiva -- es el arco del libro. Y ese arco tiene una enseñanza que quiero dejar explícita: el aprendizaje situado no es solo una teoría académica. Es la descripción de cómo ocurre el conocimiento real. No en los manuales, sino en la práctica. No en la planificación perfecta, sino en el error y la corrección. No en el individuo aislado, sino en el diálogo con otros -- colegas, asesores, sistemas, lectores.</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La inteligencia artificial no va a reemplazar a los investigadores latinoamericanos. Va a cambiar lo que significa ser un investigador latinoamericano. Ese cambio ya está ocurriendo. Este libro es un testimonio de cómo ocurrió en un caso concreto, en una región concreta, desde una disciplina concreta. La invitación es a que otros investigadores cuenten el suyo.</w:t>
      </w:r>
    </w:p>
    <w:p>
      <w:pPr>
        <w:spacing w:after="80" w:before="0" w:line="276"/>
      </w:pPr>
      <w:r>
        <w:rPr>
          <w:rFonts w:ascii="Times New Roman" w:cs="Times New Roman" w:eastAsia="Times New Roman" w:hAnsi="Times New Roman"/>
          <w:sz w:val="24"/>
          <w:szCs w:val="24"/>
        </w:rPr>
        <w:t xml:space="preserve"/>
      </w:r>
    </w:p>
    <w:p>
      <w:pPr>
        <w:spacing w:after="140" w:before="0" w:line="276"/>
        <w:ind/>
        <w:jc w:val="both"/>
      </w:pPr>
      <w:r>
        <w:rPr>
          <w:rFonts w:ascii="Times New Roman" w:cs="Times New Roman" w:eastAsia="Times New Roman" w:hAnsi="Times New Roman"/>
          <w:b w:val="false"/>
          <w:bCs w:val="false"/>
          <w:i w:val="false"/>
          <w:iCs w:val="false"/>
          <w:color w:val="000000"/>
          <w:sz w:val="24"/>
          <w:szCs w:val="24"/>
        </w:rPr>
        <w:t xml:space="preserve">Porque la soberanía tecnológica de América Latina no la va a construir ninguna institución sola. La van a construir los investigadores que decidan, uno por uno, aprender haciendo -- y documentar lo que aprendieron para que el siguiente no tenga que empezar desde cero.</w:t>
      </w:r>
    </w:p>
    <w:p>
      <w:pPr>
        <w:spacing w:after="240" w:before="0" w:line="276"/>
      </w:pPr>
      <w:r>
        <w:rPr>
          <w:rFonts w:ascii="Times New Roman" w:cs="Times New Roman" w:eastAsia="Times New Roman" w:hAnsi="Times New Roman"/>
          <w:sz w:val="24"/>
          <w:szCs w:val="24"/>
        </w:rPr>
        <w:t xml:space="preserve"/>
      </w:r>
    </w:p>
    <w:p>
      <w:pPr>
        <w:pBdr>
          <w:top w:val="single" w:color="1A2F4A" w:sz="4"/>
          <w:bottom w:val="single" w:color="1A2F4A" w:sz="4"/>
          <w:left w:val="single" w:color="1A2F4A" w:sz="6"/>
          <w:right w:val="single" w:color="1A2F4A" w:sz="6"/>
        </w:pBdr>
        <w:spacing w:after="200" w:before="120" w:line="276"/>
        <w:ind w:left="720" w:right="720"/>
        <w:jc w:val="both"/>
      </w:pPr>
      <w:r>
        <w:rPr>
          <w:rFonts w:ascii="Times New Roman" w:cs="Times New Roman" w:eastAsia="Times New Roman" w:hAnsi="Times New Roman"/>
          <w:i/>
          <w:iCs/>
          <w:color w:val="1A2F4A"/>
          <w:sz w:val="22"/>
          <w:szCs w:val="22"/>
        </w:rPr>
        <w:t xml:space="preserve">«Di un cambio. Y si lo repitiera mañana, llegaría más preparado.
Eso también es parte del aprendizaje.»
Manuel J. Sotomayor-Fernández</w:t>
      </w:r>
    </w:p>
    <w:p>
      <w:pPr>
        <w:spacing w:after="320" w:before="0" w:line="276"/>
      </w:pPr>
      <w:r>
        <w:rPr>
          <w:rFonts w:ascii="Times New Roman" w:cs="Times New Roman" w:eastAsia="Times New Roman" w:hAnsi="Times New Roman"/>
          <w:sz w:val="24"/>
          <w:szCs w:val="24"/>
        </w:rPr>
        <w:t xml:space="preserve"/>
      </w:r>
    </w:p>
    <w:p>
      <w:pPr>
        <w:spacing w:after="120" w:before="240" w:line="276"/>
        <w:jc w:val="left"/>
      </w:pPr>
      <w:r>
        <w:rPr>
          <w:rFonts w:ascii="Times New Roman" w:cs="Times New Roman" w:eastAsia="Times New Roman" w:hAnsi="Times New Roman"/>
          <w:b/>
          <w:bCs/>
          <w:color w:val="000000"/>
          <w:sz w:val="24"/>
          <w:szCs w:val="24"/>
        </w:rPr>
        <w:t xml:space="preserve">Referencias del capítulo</w:t>
      </w:r>
    </w:p>
    <w:p>
      <w:pPr>
        <w:spacing w:after="60" w:before="0" w:line="276"/>
      </w:pPr>
      <w:r>
        <w:rPr>
          <w:rFonts w:ascii="Times New Roman" w:cs="Times New Roman" w:eastAsia="Times New Roman" w:hAnsi="Times New Roman"/>
          <w:sz w:val="24"/>
          <w:szCs w:val="24"/>
        </w:rPr>
        <w:t xml:space="preserve"/>
      </w:r>
    </w:p>
    <w:p>
      <w:pPr>
        <w:spacing w:after="100" w:before="0" w:line="276"/>
        <w:ind w:left="720" w:hanging="720"/>
        <w:jc w:val="both"/>
      </w:pPr>
      <w:r>
        <w:rPr>
          <w:rFonts w:ascii="Times New Roman" w:cs="Times New Roman" w:eastAsia="Times New Roman" w:hAnsi="Times New Roman"/>
          <w:sz w:val="22"/>
          <w:szCs w:val="22"/>
        </w:rPr>
        <w:t xml:space="preserve">CEPAL (2023). Perspectivas económicas de América Latina 2023: Invirtiendo en una transición sostenible. Comisión Económica para América Latina y el Caribe.</w:t>
      </w:r>
    </w:p>
    <w:p>
      <w:pPr>
        <w:spacing w:after="100" w:before="0" w:line="276"/>
        <w:ind w:left="720" w:hanging="720"/>
        <w:jc w:val="both"/>
      </w:pPr>
      <w:r>
        <w:rPr>
          <w:rFonts w:ascii="Times New Roman" w:cs="Times New Roman" w:eastAsia="Times New Roman" w:hAnsi="Times New Roman"/>
          <w:sz w:val="22"/>
          <w:szCs w:val="22"/>
        </w:rPr>
        <w:t xml:space="preserve">ComexPerú (2026). Conectividad y brecha digital en regiones del Perú: Informe 2025-2026. Sociedad de Comercio Exterior del Perú.</w:t>
      </w:r>
    </w:p>
    <w:p>
      <w:pPr>
        <w:spacing w:after="100" w:before="0" w:line="276"/>
        <w:ind w:left="720" w:hanging="720"/>
        <w:jc w:val="both"/>
      </w:pPr>
      <w:r>
        <w:rPr>
          <w:rFonts w:ascii="Times New Roman" w:cs="Times New Roman" w:eastAsia="Times New Roman" w:hAnsi="Times New Roman"/>
          <w:sz w:val="22"/>
          <w:szCs w:val="22"/>
        </w:rPr>
        <w:t xml:space="preserve">Lave, J. y Wenger, E. (1991). Situated learning: Legitimate peripheral participation. Cambridge University Press.</w:t>
      </w:r>
    </w:p>
    <w:p>
      <w:pPr>
        <w:spacing w:after="100" w:before="0" w:line="276"/>
        <w:ind w:left="720" w:hanging="720"/>
        <w:jc w:val="both"/>
      </w:pPr>
      <w:r>
        <w:rPr>
          <w:rFonts w:ascii="Times New Roman" w:cs="Times New Roman" w:eastAsia="Times New Roman" w:hAnsi="Times New Roman"/>
          <w:sz w:val="22"/>
          <w:szCs w:val="22"/>
        </w:rPr>
        <w:t xml:space="preserve">Luckin, R. (2018). Machine learning and human intelligence: The future of education for the 21st century. UCL Institute of Education Press.</w:t>
      </w:r>
    </w:p>
    <w:p>
      <w:pPr>
        <w:spacing w:after="100" w:before="0" w:line="276"/>
        <w:ind w:left="720" w:hanging="720"/>
        <w:jc w:val="both"/>
      </w:pPr>
      <w:r>
        <w:rPr>
          <w:rFonts w:ascii="Times New Roman" w:cs="Times New Roman" w:eastAsia="Times New Roman" w:hAnsi="Times New Roman"/>
          <w:sz w:val="22"/>
          <w:szCs w:val="22"/>
        </w:rPr>
        <w:t xml:space="preserve">Quijano, A. (2000). Colonialidad del poder, eurocentrismo y América Latina. En E. Lander (Ed.), La colonialidad del saber (pp. 201-246). CLACSO.</w:t>
      </w:r>
    </w:p>
    <w:p>
      <w:pPr>
        <w:spacing w:after="100" w:before="0" w:line="276"/>
        <w:ind w:left="720" w:hanging="720"/>
        <w:jc w:val="both"/>
      </w:pPr>
      <w:r>
        <w:rPr>
          <w:rFonts w:ascii="Times New Roman" w:cs="Times New Roman" w:eastAsia="Times New Roman" w:hAnsi="Times New Roman"/>
          <w:sz w:val="22"/>
          <w:szCs w:val="22"/>
        </w:rPr>
        <w:t xml:space="preserve">Rojas, C. y Chiappe, A. (2024). Ecosistemas digitales e inteligencia artificial en la educación superior latinoamericana. Edutec. Revista Electrónica de Tecnología Educativa, 87, 1-19.</w:t>
      </w:r>
    </w:p>
    <w:p>
      <w:pPr>
        <w:spacing w:after="100" w:before="0" w:line="276"/>
        <w:ind w:left="720" w:hanging="720"/>
        <w:jc w:val="both"/>
      </w:pPr>
      <w:r>
        <w:rPr>
          <w:rFonts w:ascii="Times New Roman" w:cs="Times New Roman" w:eastAsia="Times New Roman" w:hAnsi="Times New Roman"/>
          <w:sz w:val="22"/>
          <w:szCs w:val="22"/>
        </w:rPr>
        <w:t xml:space="preserve">Selwyn, N. (2019). Should robots replace teachers? AI and the future of education. Polity Press.</w:t>
      </w:r>
    </w:p>
    <w:p>
      <w:pPr>
        <w:spacing w:after="100" w:before="0" w:line="276"/>
        <w:ind w:left="720" w:hanging="720"/>
        <w:jc w:val="both"/>
      </w:pPr>
      <w:r>
        <w:rPr>
          <w:rFonts w:ascii="Times New Roman" w:cs="Times New Roman" w:eastAsia="Times New Roman" w:hAnsi="Times New Roman"/>
          <w:sz w:val="22"/>
          <w:szCs w:val="22"/>
        </w:rPr>
        <w:t xml:space="preserve">Zawacki-Richter, O., Marín, V. I., Bond, M. y Gouverneur, F. (2019). Systematic review of research on artificial intelligence applications in higher education. International Journal of Educational Technology in Higher Education, 16, 39. https://doi.org/10.1186/s41239-019-0171-0</w:t>
      </w:r>
    </w:p>
    <w:p>
      <w:pPr>
        <w:spacing w:after="320" w:before="0" w:line="276"/>
      </w:pPr>
      <w:r>
        <w:rPr>
          <w:rFonts w:ascii="Times New Roman" w:cs="Times New Roman" w:eastAsia="Times New Roman" w:hAnsi="Times New Roman"/>
          <w:sz w:val="24"/>
          <w:szCs w:val="24"/>
        </w:rPr>
        <w:t xml:space="preserve"/>
      </w:r>
    </w:p>
    <w:p>
      <w:r>
        <w:br w:type="page"/>
      </w:r>
    </w:p>
    <w:p>
      <w:pPr>
        <w:spacing w:after="240" w:before="0" w:line="276"/>
        <w:jc w:val="left"/>
      </w:pPr>
      <w:r>
        <w:rPr>
          <w:rFonts w:ascii="Times New Roman" w:cs="Times New Roman" w:eastAsia="Times New Roman" w:hAnsi="Times New Roman"/>
          <w:b/>
          <w:bCs/>
          <w:color w:val="000000"/>
          <w:sz w:val="28"/>
          <w:szCs w:val="28"/>
        </w:rPr>
        <w:t xml:space="preserve">Referencias generales del libro</w:t>
      </w:r>
    </w:p>
    <w:p>
      <w:pPr>
        <w:spacing w:after="160" w:before="0" w:line="276"/>
        <w:ind/>
        <w:jc w:val="both"/>
      </w:pPr>
      <w:r>
        <w:rPr>
          <w:rFonts w:ascii="Times New Roman" w:cs="Times New Roman" w:eastAsia="Times New Roman" w:hAnsi="Times New Roman"/>
          <w:b w:val="false"/>
          <w:bCs w:val="false"/>
          <w:i/>
          <w:iCs/>
          <w:color w:val="000000"/>
          <w:sz w:val="24"/>
          <w:szCs w:val="24"/>
        </w:rPr>
        <w:t xml:space="preserve">Las siguientes referencias son comunes a más de un capítulo y se listan aquí de forma integrada. Las referencias específicas de cada capítulo aparecen al final de cada uno de ellos.</w:t>
      </w:r>
    </w:p>
    <w:p>
      <w:pPr>
        <w:spacing w:after="100" w:before="0" w:line="276"/>
        <w:ind w:left="720" w:hanging="720"/>
        <w:jc w:val="both"/>
      </w:pPr>
      <w:r>
        <w:rPr>
          <w:rFonts w:ascii="Times New Roman" w:cs="Times New Roman" w:eastAsia="Times New Roman" w:hAnsi="Times New Roman"/>
          <w:sz w:val="22"/>
          <w:szCs w:val="22"/>
        </w:rPr>
        <w:t xml:space="preserve">Alvarado Dodero, F. (2017). Los conceptos virreinato y colonia en el sujeto histórico Perú. Tesis doctoral, Universidad Pablo de Olavide, Sevilla.</w:t>
      </w:r>
    </w:p>
    <w:p>
      <w:pPr>
        <w:spacing w:after="100" w:before="0" w:line="276"/>
        <w:ind w:left="720" w:hanging="720"/>
        <w:jc w:val="both"/>
      </w:pPr>
      <w:r>
        <w:rPr>
          <w:rFonts w:ascii="Times New Roman" w:cs="Times New Roman" w:eastAsia="Times New Roman" w:hAnsi="Times New Roman"/>
          <w:sz w:val="22"/>
          <w:szCs w:val="22"/>
        </w:rPr>
        <w:t xml:space="preserve">Anthropic (2026). Claude: AI assistant (claude-sonnet-4-6). Anthropic PBC.</w:t>
      </w:r>
    </w:p>
    <w:p>
      <w:pPr>
        <w:spacing w:after="100" w:before="0" w:line="276"/>
        <w:ind w:left="720" w:hanging="720"/>
        <w:jc w:val="both"/>
      </w:pPr>
      <w:r>
        <w:rPr>
          <w:rFonts w:ascii="Times New Roman" w:cs="Times New Roman" w:eastAsia="Times New Roman" w:hAnsi="Times New Roman"/>
          <w:sz w:val="22"/>
          <w:szCs w:val="22"/>
        </w:rPr>
        <w:t xml:space="preserve">Ausubel, D., Novak, J. y Hanesian, H. (1983). Psicología educativa: Un punto de vista cognoscitivo (2a ed.). Trillas.</w:t>
      </w:r>
    </w:p>
    <w:p>
      <w:pPr>
        <w:spacing w:after="100" w:before="0" w:line="276"/>
        <w:ind w:left="720" w:hanging="720"/>
        <w:jc w:val="both"/>
      </w:pPr>
      <w:r>
        <w:rPr>
          <w:rFonts w:ascii="Times New Roman" w:cs="Times New Roman" w:eastAsia="Times New Roman" w:hAnsi="Times New Roman"/>
          <w:sz w:val="22"/>
          <w:szCs w:val="22"/>
        </w:rPr>
        <w:t xml:space="preserve">Basadre, J. (1968). Historia de la república del Perú 1822-1933 (6a ed.). Editorial Universitaria.</w:t>
      </w:r>
    </w:p>
    <w:p>
      <w:pPr>
        <w:spacing w:after="100" w:before="0" w:line="276"/>
        <w:ind w:left="720" w:hanging="720"/>
        <w:jc w:val="both"/>
      </w:pPr>
      <w:r>
        <w:rPr>
          <w:rFonts w:ascii="Times New Roman" w:cs="Times New Roman" w:eastAsia="Times New Roman" w:hAnsi="Times New Roman"/>
          <w:sz w:val="22"/>
          <w:szCs w:val="22"/>
        </w:rPr>
        <w:t xml:space="preserve">BCRP (2025). Informe económico y social: Región Piura 2025. Banco Central de Reserva del Perú.</w:t>
      </w:r>
    </w:p>
    <w:p>
      <w:pPr>
        <w:spacing w:after="100" w:before="0" w:line="276"/>
        <w:ind w:left="720" w:hanging="720"/>
        <w:jc w:val="both"/>
      </w:pPr>
      <w:r>
        <w:rPr>
          <w:rFonts w:ascii="Times New Roman" w:cs="Times New Roman" w:eastAsia="Times New Roman" w:hAnsi="Times New Roman"/>
          <w:sz w:val="22"/>
          <w:szCs w:val="22"/>
        </w:rPr>
        <w:t xml:space="preserve">CEPAL (2023). Perspectivas económicas de América Latina 2023. Comisión Económica para América Latina y el Caribe.</w:t>
      </w:r>
    </w:p>
    <w:p>
      <w:pPr>
        <w:spacing w:after="100" w:before="0" w:line="276"/>
        <w:ind w:left="720" w:hanging="720"/>
        <w:jc w:val="both"/>
      </w:pPr>
      <w:r>
        <w:rPr>
          <w:rFonts w:ascii="Times New Roman" w:cs="Times New Roman" w:eastAsia="Times New Roman" w:hAnsi="Times New Roman"/>
          <w:sz w:val="22"/>
          <w:szCs w:val="22"/>
        </w:rPr>
        <w:t xml:space="preserve">CEPLAN (2024). Guía para la elaboración de indicadores de políticas nacionales y planes estratégicos. Centro Nacional de Planeamiento Estratégico.</w:t>
      </w:r>
    </w:p>
    <w:p>
      <w:pPr>
        <w:spacing w:after="100" w:before="0" w:line="276"/>
        <w:ind w:left="720" w:hanging="720"/>
        <w:jc w:val="both"/>
      </w:pPr>
      <w:r>
        <w:rPr>
          <w:rFonts w:ascii="Times New Roman" w:cs="Times New Roman" w:eastAsia="Times New Roman" w:hAnsi="Times New Roman"/>
          <w:sz w:val="22"/>
          <w:szCs w:val="22"/>
        </w:rPr>
        <w:t xml:space="preserve">ComexPerú (2026). Conectividad y brecha digital en regiones del Perú: Informe 2025-2026. Sociedad de Comercio Exterior del Perú.</w:t>
      </w:r>
    </w:p>
    <w:p>
      <w:pPr>
        <w:spacing w:after="100" w:before="0" w:line="276"/>
        <w:ind w:left="720" w:hanging="720"/>
        <w:jc w:val="both"/>
      </w:pPr>
      <w:r>
        <w:rPr>
          <w:rFonts w:ascii="Times New Roman" w:cs="Times New Roman" w:eastAsia="Times New Roman" w:hAnsi="Times New Roman"/>
          <w:sz w:val="22"/>
          <w:szCs w:val="22"/>
        </w:rPr>
        <w:t xml:space="preserve">Contreras, C. y Cueto, M. (2013). Historia del Perú contemporáneo (5a ed.). IEP.</w:t>
      </w:r>
    </w:p>
    <w:p>
      <w:pPr>
        <w:spacing w:after="100" w:before="0" w:line="276"/>
        <w:ind w:left="720" w:hanging="720"/>
        <w:jc w:val="both"/>
      </w:pPr>
      <w:r>
        <w:rPr>
          <w:rFonts w:ascii="Times New Roman" w:cs="Times New Roman" w:eastAsia="Times New Roman" w:hAnsi="Times New Roman"/>
          <w:sz w:val="22"/>
          <w:szCs w:val="22"/>
        </w:rPr>
        <w:t xml:space="preserve">Cotler, J. (1978). Clases, Estado y nación en el Perú. IEP.</w:t>
      </w:r>
    </w:p>
    <w:p>
      <w:pPr>
        <w:spacing w:after="100" w:before="0" w:line="276"/>
        <w:ind w:left="720" w:hanging="720"/>
        <w:jc w:val="both"/>
      </w:pPr>
      <w:r>
        <w:rPr>
          <w:rFonts w:ascii="Times New Roman" w:cs="Times New Roman" w:eastAsia="Times New Roman" w:hAnsi="Times New Roman"/>
          <w:sz w:val="22"/>
          <w:szCs w:val="22"/>
        </w:rPr>
        <w:t xml:space="preserve">Dargent, E. (2012). El Estado en el Perú: Una agenda de investigación. Debates en Sociología, 37, 181-198.</w:t>
      </w:r>
    </w:p>
    <w:p>
      <w:pPr>
        <w:spacing w:after="100" w:before="0" w:line="276"/>
        <w:ind w:left="720" w:hanging="720"/>
        <w:jc w:val="both"/>
      </w:pPr>
      <w:r>
        <w:rPr>
          <w:rFonts w:ascii="Times New Roman" w:cs="Times New Roman" w:eastAsia="Times New Roman" w:hAnsi="Times New Roman"/>
          <w:sz w:val="22"/>
          <w:szCs w:val="22"/>
        </w:rPr>
        <w:t xml:space="preserve">Delgado, M. y Solano, A. (2009). Estrategias didácticas creativas en entornos virtuales para el aprendizaje. Revista Actualidades Investigativas en Educación, 9(2), 1-21.</w:t>
      </w:r>
    </w:p>
    <w:p>
      <w:pPr>
        <w:spacing w:after="100" w:before="0" w:line="276"/>
        <w:ind w:left="720" w:hanging="720"/>
        <w:jc w:val="both"/>
      </w:pPr>
      <w:r>
        <w:rPr>
          <w:rFonts w:ascii="Times New Roman" w:cs="Times New Roman" w:eastAsia="Times New Roman" w:hAnsi="Times New Roman"/>
          <w:sz w:val="22"/>
          <w:szCs w:val="22"/>
        </w:rPr>
        <w:t xml:space="preserve">Díaz, F. y Hernández, G. (1999). Estrategias docentes para un aprendizaje significativo. McGraw-Hill.</w:t>
      </w:r>
    </w:p>
    <w:p>
      <w:pPr>
        <w:spacing w:after="100" w:before="0" w:line="276"/>
        <w:ind w:left="720" w:hanging="720"/>
        <w:jc w:val="both"/>
      </w:pPr>
      <w:r>
        <w:rPr>
          <w:rFonts w:ascii="Times New Roman" w:cs="Times New Roman" w:eastAsia="Times New Roman" w:hAnsi="Times New Roman"/>
          <w:sz w:val="22"/>
          <w:szCs w:val="22"/>
        </w:rPr>
        <w:t xml:space="preserve">Ellis, C., Adams, T. E. y Bochner, A. P. (2011). Autoethnography: An overview. Forum Qualitative Sozialforschung, 12(1), Art. 10. https://doi.org/10.17169/fqs-12.1.1589</w:t>
      </w:r>
    </w:p>
    <w:p>
      <w:pPr>
        <w:spacing w:after="100" w:before="0" w:line="276"/>
        <w:ind w:left="720" w:hanging="720"/>
        <w:jc w:val="both"/>
      </w:pPr>
      <w:r>
        <w:rPr>
          <w:rFonts w:ascii="Times New Roman" w:cs="Times New Roman" w:eastAsia="Times New Roman" w:hAnsi="Times New Roman"/>
          <w:sz w:val="22"/>
          <w:szCs w:val="22"/>
        </w:rPr>
        <w:t xml:space="preserve">Evans, P. (1995). Embedded autonomy: States and industrial transformation. Princeton University Press.</w:t>
      </w:r>
    </w:p>
    <w:p>
      <w:pPr>
        <w:spacing w:after="100" w:before="0" w:line="276"/>
        <w:ind w:left="720" w:hanging="720"/>
        <w:jc w:val="both"/>
      </w:pPr>
      <w:r>
        <w:rPr>
          <w:rFonts w:ascii="Times New Roman" w:cs="Times New Roman" w:eastAsia="Times New Roman" w:hAnsi="Times New Roman"/>
          <w:sz w:val="22"/>
          <w:szCs w:val="22"/>
        </w:rPr>
        <w:t xml:space="preserve">Flores Galindo, A. (1988). Buscando un Inca: Identidad y utopía en los Andes (3a ed.). Editorial Horizonte.</w:t>
      </w:r>
    </w:p>
    <w:p>
      <w:pPr>
        <w:spacing w:after="100" w:before="0" w:line="276"/>
        <w:ind w:left="720" w:hanging="720"/>
        <w:jc w:val="both"/>
      </w:pPr>
      <w:r>
        <w:rPr>
          <w:rFonts w:ascii="Times New Roman" w:cs="Times New Roman" w:eastAsia="Times New Roman" w:hAnsi="Times New Roman"/>
          <w:sz w:val="22"/>
          <w:szCs w:val="22"/>
        </w:rPr>
        <w:t xml:space="preserve">INEI (2025). Informe técnico: Estadísticas de las tecnologías de información y comunicación en los hogares, I Trimestre 2025. Instituto Nacional de Estadística e Informática.</w:t>
      </w:r>
    </w:p>
    <w:p>
      <w:pPr>
        <w:spacing w:after="100" w:before="0" w:line="276"/>
        <w:ind w:left="720" w:hanging="720"/>
        <w:jc w:val="both"/>
      </w:pPr>
      <w:r>
        <w:rPr>
          <w:rFonts w:ascii="Times New Roman" w:cs="Times New Roman" w:eastAsia="Times New Roman" w:hAnsi="Times New Roman"/>
          <w:sz w:val="22"/>
          <w:szCs w:val="22"/>
        </w:rPr>
        <w:t xml:space="preserve">Kanobel, M., Galli, M. y Chan, M. (2023). Competencias digitales docentes en la educación superior argentina. Revista Iberoamericana de Educación, 91(1), 115-134.</w:t>
      </w:r>
    </w:p>
    <w:p>
      <w:pPr>
        <w:spacing w:after="100" w:before="0" w:line="276"/>
        <w:ind w:left="720" w:hanging="720"/>
        <w:jc w:val="both"/>
      </w:pPr>
      <w:r>
        <w:rPr>
          <w:rFonts w:ascii="Times New Roman" w:cs="Times New Roman" w:eastAsia="Times New Roman" w:hAnsi="Times New Roman"/>
          <w:sz w:val="22"/>
          <w:szCs w:val="22"/>
        </w:rPr>
        <w:t xml:space="preserve">Lave, J. y Wenger, E. (1991). Situated learning: Legitimate peripheral participation. Cambridge University Press.</w:t>
      </w:r>
    </w:p>
    <w:p>
      <w:pPr>
        <w:spacing w:after="100" w:before="0" w:line="276"/>
        <w:ind w:left="720" w:hanging="720"/>
        <w:jc w:val="both"/>
      </w:pPr>
      <w:r>
        <w:rPr>
          <w:rFonts w:ascii="Times New Roman" w:cs="Times New Roman" w:eastAsia="Times New Roman" w:hAnsi="Times New Roman"/>
          <w:sz w:val="22"/>
          <w:szCs w:val="22"/>
        </w:rPr>
        <w:t xml:space="preserve">Levitsky, S. y Zavaleta, M. (2019). Por qué no hay partidos políticos en el Perú? Planeta.</w:t>
      </w:r>
    </w:p>
    <w:p>
      <w:pPr>
        <w:spacing w:after="100" w:before="0" w:line="276"/>
        <w:ind w:left="720" w:hanging="720"/>
        <w:jc w:val="both"/>
      </w:pPr>
      <w:r>
        <w:rPr>
          <w:rFonts w:ascii="Times New Roman" w:cs="Times New Roman" w:eastAsia="Times New Roman" w:hAnsi="Times New Roman"/>
          <w:sz w:val="22"/>
          <w:szCs w:val="22"/>
        </w:rPr>
        <w:t xml:space="preserve">Luckin, R. (2018). Machine learning and human intelligence: The future of education for the 21st century. UCL Institute of Education Press.</w:t>
      </w:r>
    </w:p>
    <w:p>
      <w:pPr>
        <w:spacing w:after="100" w:before="0" w:line="276"/>
        <w:ind w:left="720" w:hanging="720"/>
        <w:jc w:val="both"/>
      </w:pPr>
      <w:r>
        <w:rPr>
          <w:rFonts w:ascii="Times New Roman" w:cs="Times New Roman" w:eastAsia="Times New Roman" w:hAnsi="Times New Roman"/>
          <w:sz w:val="22"/>
          <w:szCs w:val="22"/>
        </w:rPr>
        <w:t xml:space="preserve">Lynch, J. (1992). Caudillos en Hispanoamérica 1800-1850. MAPFRE.</w:t>
      </w:r>
    </w:p>
    <w:p>
      <w:pPr>
        <w:spacing w:after="100" w:before="0" w:line="276"/>
        <w:ind w:left="720" w:hanging="720"/>
        <w:jc w:val="both"/>
      </w:pPr>
      <w:r>
        <w:rPr>
          <w:rFonts w:ascii="Times New Roman" w:cs="Times New Roman" w:eastAsia="Times New Roman" w:hAnsi="Times New Roman"/>
          <w:sz w:val="22"/>
          <w:szCs w:val="22"/>
        </w:rPr>
        <w:t xml:space="preserve">Manrique, N. (1999). La piel y la pluma: Escritos sobre literatura, etnicidad y racismo. Sur.</w:t>
      </w:r>
    </w:p>
    <w:p>
      <w:pPr>
        <w:spacing w:after="100" w:before="0" w:line="276"/>
        <w:ind w:left="720" w:hanging="720"/>
        <w:jc w:val="both"/>
      </w:pPr>
      <w:r>
        <w:rPr>
          <w:rFonts w:ascii="Times New Roman" w:cs="Times New Roman" w:eastAsia="Times New Roman" w:hAnsi="Times New Roman"/>
          <w:sz w:val="22"/>
          <w:szCs w:val="22"/>
        </w:rPr>
        <w:t xml:space="preserve">Mayer, E. (2009). Cuentos feos de la reforma agraria peruana. IEP.</w:t>
      </w:r>
    </w:p>
    <w:p>
      <w:pPr>
        <w:spacing w:after="100" w:before="0" w:line="276"/>
        <w:ind w:left="720" w:hanging="720"/>
        <w:jc w:val="both"/>
      </w:pPr>
      <w:r>
        <w:rPr>
          <w:rFonts w:ascii="Times New Roman" w:cs="Times New Roman" w:eastAsia="Times New Roman" w:hAnsi="Times New Roman"/>
          <w:sz w:val="22"/>
          <w:szCs w:val="22"/>
        </w:rPr>
        <w:t xml:space="preserve">MEF (2025). Consulta Amigable -- Ejecución del Gasto, Región Piura 2022-2025. Ministerio de Economía y Finanzas.</w:t>
      </w:r>
    </w:p>
    <w:p>
      <w:pPr>
        <w:spacing w:after="100" w:before="0" w:line="276"/>
        <w:ind w:left="720" w:hanging="720"/>
        <w:jc w:val="both"/>
      </w:pPr>
      <w:r>
        <w:rPr>
          <w:rFonts w:ascii="Times New Roman" w:cs="Times New Roman" w:eastAsia="Times New Roman" w:hAnsi="Times New Roman"/>
          <w:sz w:val="22"/>
          <w:szCs w:val="22"/>
        </w:rPr>
        <w:t xml:space="preserve">Mora Vicarioli, F. (2010). Papel del tutor virtual en la educación a distancia (UNED). Revista Calidad en la Educación Superior, 1(2), 104-119.</w:t>
      </w:r>
    </w:p>
    <w:p>
      <w:pPr>
        <w:spacing w:after="100" w:before="0" w:line="276"/>
        <w:ind w:left="720" w:hanging="720"/>
        <w:jc w:val="both"/>
      </w:pPr>
      <w:r>
        <w:rPr>
          <w:rFonts w:ascii="Times New Roman" w:cs="Times New Roman" w:eastAsia="Times New Roman" w:hAnsi="Times New Roman"/>
          <w:sz w:val="22"/>
          <w:szCs w:val="22"/>
        </w:rPr>
        <w:t xml:space="preserve">Murakami, Y. (2012). Perú en la era del chino (2a ed.). IEP.</w:t>
      </w:r>
    </w:p>
    <w:p>
      <w:pPr>
        <w:spacing w:after="100" w:before="0" w:line="276"/>
        <w:ind w:left="720" w:hanging="720"/>
        <w:jc w:val="both"/>
      </w:pPr>
      <w:r>
        <w:rPr>
          <w:rFonts w:ascii="Times New Roman" w:cs="Times New Roman" w:eastAsia="Times New Roman" w:hAnsi="Times New Roman"/>
          <w:sz w:val="22"/>
          <w:szCs w:val="22"/>
        </w:rPr>
        <w:t xml:space="preserve">O'Donnell, G. (1993). On the state, democratization and some conceptual problems. World Development, 21(8), 1355-1369. https://doi.org/10.1016/0305-750X(93)90048-E</w:t>
      </w:r>
    </w:p>
    <w:p>
      <w:pPr>
        <w:spacing w:after="100" w:before="0" w:line="276"/>
        <w:ind w:left="720" w:hanging="720"/>
        <w:jc w:val="both"/>
      </w:pPr>
      <w:r>
        <w:rPr>
          <w:rFonts w:ascii="Times New Roman" w:cs="Times New Roman" w:eastAsia="Times New Roman" w:hAnsi="Times New Roman"/>
          <w:sz w:val="22"/>
          <w:szCs w:val="22"/>
        </w:rPr>
        <w:t xml:space="preserve">O'Phelan Godoy, S. (2012). La independencia del Perú: De los Borbones a Bolívar. IEP.</w:t>
      </w:r>
    </w:p>
    <w:p>
      <w:pPr>
        <w:spacing w:after="100" w:before="0" w:line="276"/>
        <w:ind w:left="720" w:hanging="720"/>
        <w:jc w:val="both"/>
      </w:pPr>
      <w:r>
        <w:rPr>
          <w:rFonts w:ascii="Times New Roman" w:cs="Times New Roman" w:eastAsia="Times New Roman" w:hAnsi="Times New Roman"/>
          <w:sz w:val="22"/>
          <w:szCs w:val="22"/>
        </w:rPr>
        <w:t xml:space="preserve">Quijano, A. (2000). Colonialidad del poder, eurocentrismo y América Latina. En E. Lander (Ed.), La colonialidad del saber (pp. 201-246). CLACSO.</w:t>
      </w:r>
    </w:p>
    <w:p>
      <w:pPr>
        <w:spacing w:after="100" w:before="0" w:line="276"/>
        <w:ind w:left="720" w:hanging="720"/>
        <w:jc w:val="both"/>
      </w:pPr>
      <w:r>
        <w:rPr>
          <w:rFonts w:ascii="Times New Roman" w:cs="Times New Roman" w:eastAsia="Times New Roman" w:hAnsi="Times New Roman"/>
          <w:sz w:val="22"/>
          <w:szCs w:val="22"/>
        </w:rPr>
        <w:t xml:space="preserve">Raissi, M., Perdikaris, P. y Karniadakis, G. E. (2019). Physics-informed neural networks. Journal of Computational Physics, 378, 686-707. https://doi.org/10.1016/j.jcp.2018.10.045</w:t>
      </w:r>
    </w:p>
    <w:p>
      <w:pPr>
        <w:spacing w:after="100" w:before="0" w:line="276"/>
        <w:ind w:left="720" w:hanging="720"/>
        <w:jc w:val="both"/>
      </w:pPr>
      <w:r>
        <w:rPr>
          <w:rFonts w:ascii="Times New Roman" w:cs="Times New Roman" w:eastAsia="Times New Roman" w:hAnsi="Times New Roman"/>
          <w:sz w:val="22"/>
          <w:szCs w:val="22"/>
        </w:rPr>
        <w:t xml:space="preserve">Rojas, C. y Chiappe, A. (2024). Ecosistemas digitales e inteligencia artificial en la educación superior latinoamericana. Edutec, 87, 1-19.</w:t>
      </w:r>
    </w:p>
    <w:p>
      <w:pPr>
        <w:spacing w:after="100" w:before="0" w:line="276"/>
        <w:ind w:left="720" w:hanging="720"/>
        <w:jc w:val="both"/>
      </w:pPr>
      <w:r>
        <w:rPr>
          <w:rFonts w:ascii="Times New Roman" w:cs="Times New Roman" w:eastAsia="Times New Roman" w:hAnsi="Times New Roman"/>
          <w:sz w:val="22"/>
          <w:szCs w:val="22"/>
        </w:rPr>
        <w:t xml:space="preserve">Salinas, J. (2011). Entornos virtuales de aprendizaje en la escuela: tipos, modelo didáctico y rol docente. Universidad de las Islas Baleares.</w:t>
      </w:r>
    </w:p>
    <w:p>
      <w:pPr>
        <w:spacing w:after="100" w:before="0" w:line="276"/>
        <w:ind w:left="720" w:hanging="720"/>
        <w:jc w:val="both"/>
      </w:pPr>
      <w:r>
        <w:rPr>
          <w:rFonts w:ascii="Times New Roman" w:cs="Times New Roman" w:eastAsia="Times New Roman" w:hAnsi="Times New Roman"/>
          <w:sz w:val="22"/>
          <w:szCs w:val="22"/>
        </w:rPr>
        <w:t xml:space="preserve">Selwyn, N. (2019). Should robots replace teachers? AI and the future of education. Polity Press.</w:t>
      </w:r>
    </w:p>
    <w:p>
      <w:pPr>
        <w:spacing w:after="100" w:before="0" w:line="276"/>
        <w:ind w:left="720" w:hanging="720"/>
        <w:jc w:val="both"/>
      </w:pPr>
      <w:r>
        <w:rPr>
          <w:rFonts w:ascii="Times New Roman" w:cs="Times New Roman" w:eastAsia="Times New Roman" w:hAnsi="Times New Roman"/>
          <w:sz w:val="22"/>
          <w:szCs w:val="22"/>
        </w:rPr>
        <w:t xml:space="preserve">Siemens, G. (2004). Connectivism: A learning theory for the digital age. International Journal of Instructional Technology and Distance Learning, 2(1), 3-10.</w:t>
      </w:r>
    </w:p>
    <w:p>
      <w:pPr>
        <w:spacing w:after="100" w:before="0" w:line="276"/>
        <w:ind w:left="720" w:hanging="720"/>
        <w:jc w:val="both"/>
      </w:pPr>
      <w:r>
        <w:rPr>
          <w:rFonts w:ascii="Times New Roman" w:cs="Times New Roman" w:eastAsia="Times New Roman" w:hAnsi="Times New Roman"/>
          <w:sz w:val="22"/>
          <w:szCs w:val="22"/>
        </w:rPr>
        <w:t xml:space="preserve">Sotomayor-Fernández, M. J. (2026). Modelado de la Exclusión Territorial mediante Sociología Algorítmica: El Índice de Curvatura Social (ICS) en el marco del Sinaplan. Manuscrito enviado a Formación Universitaria.</w:t>
      </w:r>
    </w:p>
    <w:p>
      <w:pPr>
        <w:spacing w:after="100" w:before="0" w:line="276"/>
        <w:ind w:left="720" w:hanging="720"/>
        <w:jc w:val="both"/>
      </w:pPr>
      <w:r>
        <w:rPr>
          <w:rFonts w:ascii="Times New Roman" w:cs="Times New Roman" w:eastAsia="Times New Roman" w:hAnsi="Times New Roman"/>
          <w:sz w:val="22"/>
          <w:szCs w:val="22"/>
        </w:rPr>
        <w:t xml:space="preserve">UNESCO-IESALC e UNESCO-ICHEI (2024). Educación superior digital: Perspectivas y desafíos en América Latina y el Caribe. UNESCO.</w:t>
      </w:r>
    </w:p>
    <w:p>
      <w:pPr>
        <w:spacing w:after="100" w:before="0" w:line="276"/>
        <w:ind w:left="720" w:hanging="720"/>
        <w:jc w:val="both"/>
      </w:pPr>
      <w:r>
        <w:rPr>
          <w:rFonts w:ascii="Times New Roman" w:cs="Times New Roman" w:eastAsia="Times New Roman" w:hAnsi="Times New Roman"/>
          <w:sz w:val="22"/>
          <w:szCs w:val="22"/>
        </w:rPr>
        <w:t xml:space="preserve">Vygotsky, L. (1979). El desarrollo de los procesos psicológicos superiores. Gríjalbo.</w:t>
      </w:r>
    </w:p>
    <w:p>
      <w:pPr>
        <w:spacing w:after="100" w:before="0" w:line="276"/>
        <w:ind w:left="720" w:hanging="720"/>
        <w:jc w:val="both"/>
      </w:pPr>
      <w:r>
        <w:rPr>
          <w:rFonts w:ascii="Times New Roman" w:cs="Times New Roman" w:eastAsia="Times New Roman" w:hAnsi="Times New Roman"/>
          <w:sz w:val="22"/>
          <w:szCs w:val="22"/>
        </w:rPr>
        <w:t xml:space="preserve">Zawacki-Richter, O., Marín, V. I., Bond, M. y Gouverneur, F. (2019). Systematic review of research on artificial intelligence applications in higher education. International Journal of Educational Technology in Higher Education, 16, 39. https://doi.org/10.1186/s41239-019-0171-0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2026-10-03T17:31:06.607Z</dcterms:created>
  <dcterms:modified xsi:type="dcterms:W3CDTF">2026-10-03T17:31:06.613Z</dcterms:modified>
</cp:coreProperties>
</file>

<file path=docProps/custom.xml><?xml version="1.0" encoding="utf-8"?>
<Properties xmlns="http://schemas.openxmlformats.org/officeDocument/2006/custom-properties" xmlns:vt="http://schemas.openxmlformats.org/officeDocument/2006/docPropsVTypes"/>
</file>