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60" w:before="0" w:line="276"/>
      </w:pPr>
      <w:r>
        <w:rPr>
          <w:rFonts w:ascii="Times New Roman" w:cs="Times New Roman" w:eastAsia="Times New Roman" w:hAnsi="Times New Roman"/>
          <w:sz w:val="24"/>
          <w:szCs w:val="24"/>
        </w:rPr>
        <w:t xml:space="preserve"/>
      </w:r>
    </w:p>
    <w:p>
      <w:pPr>
        <w:spacing w:after="160" w:before="0" w:line="276"/>
        <w:jc w:val="center"/>
      </w:pPr>
      <w:r>
        <w:rPr>
          <w:rFonts w:ascii="Times New Roman" w:cs="Times New Roman" w:eastAsia="Times New Roman" w:hAnsi="Times New Roman"/>
          <w:b/>
          <w:bCs/>
          <w:color w:val="1A2F4A"/>
          <w:sz w:val="40"/>
          <w:szCs w:val="40"/>
        </w:rPr>
        <w:t xml:space="preserve">De usuario a arquitecto:</w:t>
      </w:r>
    </w:p>
    <w:p>
      <w:pPr>
        <w:spacing w:after="240" w:before="0" w:line="276"/>
        <w:jc w:val="center"/>
      </w:pPr>
      <w:r>
        <w:rPr>
          <w:rFonts w:ascii="Times New Roman" w:cs="Times New Roman" w:eastAsia="Times New Roman" w:hAnsi="Times New Roman"/>
          <w:b/>
          <w:bCs/>
          <w:color w:val="1A2F4A"/>
          <w:sz w:val="30"/>
          <w:szCs w:val="30"/>
        </w:rPr>
        <w:t xml:space="preserve">cómo un investigador social construyó un sistema multi-agente para producción científica sin saber programar</w:t>
      </w:r>
    </w:p>
    <w:p>
      <w:pPr>
        <w:spacing w:after="480" w:before="0" w:line="276"/>
      </w:pPr>
      <w:r>
        <w:rPr>
          <w:rFonts w:ascii="Times New Roman" w:cs="Times New Roman" w:eastAsia="Times New Roman" w:hAnsi="Times New Roman"/>
          <w:sz w:val="24"/>
          <w:szCs w:val="24"/>
        </w:rPr>
        <w:t xml:space="preserve"/>
      </w:r>
    </w:p>
    <w:p>
      <w:pPr>
        <w:spacing w:after="80" w:before="0" w:line="276"/>
        <w:jc w:val="center"/>
      </w:pPr>
      <w:r>
        <w:rPr>
          <w:rFonts w:ascii="Times New Roman" w:cs="Times New Roman" w:eastAsia="Times New Roman" w:hAnsi="Times New Roman"/>
          <w:sz w:val="26"/>
          <w:szCs w:val="26"/>
        </w:rPr>
        <w:t xml:space="preserve">Manuel J. Sotomayor-Fernández</w:t>
      </w:r>
    </w:p>
    <w:p>
      <w:pPr>
        <w:spacing w:after="140" w:before="0" w:line="276"/>
        <w:ind/>
        <w:jc w:val="center"/>
      </w:pPr>
      <w:r>
        <w:rPr>
          <w:rFonts w:ascii="Times New Roman" w:cs="Times New Roman" w:eastAsia="Times New Roman" w:hAnsi="Times New Roman"/>
          <w:b w:val="false"/>
          <w:bCs w:val="false"/>
          <w:i w:val="false"/>
          <w:iCs w:val="false"/>
          <w:color w:val="000000"/>
          <w:sz w:val="22"/>
          <w:szCs w:val="22"/>
        </w:rPr>
        <w:t xml:space="preserve">Universidad Tecnológica del Perú (UTP), Sede Piura</w:t>
      </w:r>
    </w:p>
    <w:p>
      <w:pPr>
        <w:spacing w:after="80" w:before="0" w:line="276"/>
        <w:ind/>
        <w:jc w:val="center"/>
      </w:pPr>
      <w:r>
        <w:rPr>
          <w:rFonts w:ascii="Times New Roman" w:cs="Times New Roman" w:eastAsia="Times New Roman" w:hAnsi="Times New Roman"/>
          <w:b w:val="false"/>
          <w:bCs w:val="false"/>
          <w:i w:val="false"/>
          <w:iCs w:val="false"/>
          <w:color w:val="000000"/>
          <w:sz w:val="20"/>
          <w:szCs w:val="20"/>
        </w:rPr>
        <w:t xml:space="preserve">ORCID: 0000-0002-7105-620X</w:t>
      </w:r>
    </w:p>
    <w:p>
      <w:pPr>
        <w:spacing w:after="960" w:before="0" w:line="276"/>
      </w:pPr>
      <w:r>
        <w:rPr>
          <w:rFonts w:ascii="Times New Roman" w:cs="Times New Roman" w:eastAsia="Times New Roman" w:hAnsi="Times New Roman"/>
          <w:sz w:val="24"/>
          <w:szCs w:val="24"/>
        </w:rPr>
        <w:t xml:space="preserve"/>
      </w:r>
    </w:p>
    <w:p>
      <w:pPr>
        <w:spacing w:after="140" w:before="0" w:line="276"/>
        <w:ind/>
        <w:jc w:val="center"/>
      </w:pPr>
      <w:r>
        <w:rPr>
          <w:rFonts w:ascii="Times New Roman" w:cs="Times New Roman" w:eastAsia="Times New Roman" w:hAnsi="Times New Roman"/>
          <w:b w:val="false"/>
          <w:bCs w:val="false"/>
          <w:i w:val="false"/>
          <w:iCs w:val="false"/>
          <w:color w:val="000000"/>
          <w:sz w:val="22"/>
          <w:szCs w:val="22"/>
        </w:rPr>
        <w:t xml:space="preserve">2026</w:t>
      </w:r>
    </w:p>
    <w:p>
      <w:r>
        <w:br w:type="page"/>
      </w:r>
    </w:p>
    <w:p>
      <w:pPr>
        <w:spacing w:after="480" w:before="0" w:line="276"/>
      </w:pPr>
      <w:r>
        <w:rPr>
          <w:rFonts w:ascii="Times New Roman" w:cs="Times New Roman" w:eastAsia="Times New Roman" w:hAnsi="Times New Roman"/>
          <w:sz w:val="24"/>
          <w:szCs w:val="24"/>
        </w:rPr>
        <w:t xml:space="preserve"/>
      </w:r>
    </w:p>
    <w:p>
      <w:pPr>
        <w:spacing w:after="160" w:before="0" w:line="276"/>
        <w:ind/>
        <w:jc w:val="left"/>
      </w:pPr>
      <w:r>
        <w:rPr>
          <w:rFonts w:ascii="Times New Roman" w:cs="Times New Roman" w:eastAsia="Times New Roman" w:hAnsi="Times New Roman"/>
          <w:b/>
          <w:bCs/>
          <w:i w:val="false"/>
          <w:iCs w:val="false"/>
          <w:color w:val="000000"/>
          <w:sz w:val="26"/>
          <w:szCs w:val="26"/>
        </w:rPr>
        <w:t xml:space="preserve">Dedicatoria</w:t>
      </w:r>
    </w:p>
    <w:p>
      <w:pPr>
        <w:spacing w:after="240" w:before="0" w:line="276"/>
        <w:ind/>
        <w:jc w:val="both"/>
      </w:pPr>
      <w:r>
        <w:rPr>
          <w:rFonts w:ascii="Times New Roman" w:cs="Times New Roman" w:eastAsia="Times New Roman" w:hAnsi="Times New Roman"/>
          <w:b w:val="false"/>
          <w:bCs w:val="false"/>
          <w:i w:val="false"/>
          <w:iCs w:val="false"/>
          <w:color w:val="000000"/>
          <w:sz w:val="24"/>
          <w:szCs w:val="24"/>
        </w:rPr>
        <w:t xml:space="preserve">A mi familia, sostén y compañía en cada etapa de este camino. A mis hijos, por recordarme que el conocimiento solo tiene sentido cuando se comparte. Y de manera muy especial, a mi esposa Amalia Ugarte Quiroz Curo de Sotomayor, cuya paciencia, apoyo y amor han sido la fuerza silenciosa que me permitió avanzar en este proyecto. Este libro también es suyo, porque cada página lleva la huella de su presencia y confianza.</w:t>
      </w:r>
    </w:p>
    <w:p>
      <w:r>
        <w:br w:type="page"/>
      </w:r>
    </w:p>
    <w:p>
      <w:pPr>
        <w:spacing w:after="160" w:before="0" w:line="276"/>
        <w:ind/>
        <w:jc w:val="left"/>
      </w:pPr>
      <w:r>
        <w:rPr>
          <w:rFonts w:ascii="Times New Roman" w:cs="Times New Roman" w:eastAsia="Times New Roman" w:hAnsi="Times New Roman"/>
          <w:b/>
          <w:bCs/>
          <w:i w:val="false"/>
          <w:iCs w:val="false"/>
          <w:color w:val="000000"/>
          <w:sz w:val="26"/>
          <w:szCs w:val="26"/>
        </w:rPr>
        <w:t xml:space="preserve">Agradecimientos académicos</w:t>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Deseo expresar mi reconocimiento al Dr. Javier Jaramillo, Doctor en Informática, cuyas valiosas tertulias fueron el punto de partida de este recorrido intelectual. Aunque provengo del campo de las ciencias sociales como sociólogo, esas conversaciones me incentivaron a explorar un terreno completamente nuevo: la inteligencia artificial aplicada a la investigación científica. Su orientación y estímulo despertaron en mí el deseo de conocer y aprender, abriendo un camino que este libro busca compartir.</w:t>
      </w:r>
    </w:p>
    <w:p>
      <w:pPr>
        <w:spacing w:after="80" w:before="0" w:line="276"/>
      </w:pPr>
      <w:r>
        <w:rPr>
          <w:rFonts w:ascii="Times New Roman" w:cs="Times New Roman" w:eastAsia="Times New Roman" w:hAnsi="Times New Roman"/>
          <w:sz w:val="24"/>
          <w:szCs w:val="24"/>
        </w:rPr>
        <w:t xml:space="preserve"/>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Asimismo, extiendo mi gratitud a los maestros y colegas de la Universidad Tecnológica del Perú (UTP), quienes con su acompañamiento académico y sus reflexiones críticas han enriquecido mi proceso formativo. Sus aportes han sido fundamentales para consolidar la perspectiva interdisciplinaria que sostiene este trabajo.</w:t>
      </w:r>
    </w:p>
    <w:p>
      <w:pPr>
        <w:spacing w:after="80" w:before="0" w:line="276"/>
      </w:pPr>
      <w:r>
        <w:rPr>
          <w:rFonts w:ascii="Times New Roman" w:cs="Times New Roman" w:eastAsia="Times New Roman" w:hAnsi="Times New Roman"/>
          <w:sz w:val="24"/>
          <w:szCs w:val="24"/>
        </w:rPr>
        <w:t xml:space="preserve"/>
      </w:r>
    </w:p>
    <w:p>
      <w:pPr>
        <w:spacing w:after="240" w:before="0" w:line="276"/>
        <w:ind/>
        <w:jc w:val="both"/>
      </w:pPr>
      <w:r>
        <w:rPr>
          <w:rFonts w:ascii="Times New Roman" w:cs="Times New Roman" w:eastAsia="Times New Roman" w:hAnsi="Times New Roman"/>
          <w:b w:val="false"/>
          <w:bCs w:val="false"/>
          <w:i w:val="false"/>
          <w:iCs w:val="false"/>
          <w:color w:val="000000"/>
          <w:sz w:val="24"/>
          <w:szCs w:val="24"/>
        </w:rPr>
        <w:t xml:space="preserve">A todos ellos, mi reconocimiento por haber contribuido a que esta experiencia personal se transforme en un aporte académico con vocación colectiva.</w:t>
      </w:r>
    </w:p>
    <w:p>
      <w:r>
        <w:br w:type="page"/>
      </w:r>
    </w:p>
    <w:p>
      <w:pPr>
        <w:spacing w:after="160" w:before="0" w:line="276"/>
        <w:ind/>
        <w:jc w:val="left"/>
      </w:pPr>
      <w:r>
        <w:rPr>
          <w:rFonts w:ascii="Times New Roman" w:cs="Times New Roman" w:eastAsia="Times New Roman" w:hAnsi="Times New Roman"/>
          <w:b/>
          <w:bCs/>
          <w:i w:val="false"/>
          <w:iCs w:val="false"/>
          <w:color w:val="000000"/>
          <w:sz w:val="26"/>
          <w:szCs w:val="26"/>
        </w:rPr>
        <w:t xml:space="preserve">Prefacio</w:t>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Este libro nace de una experiencia personal que pronto se convirtió en un desafío académico. Como sociólogo y docente universitario, mi formación inicial estuvo siempre vinculada a las ciencias sociales. Sin embargo, las conversaciones con colegas y asesores -- en especial las tertulias con el Dr. Javier Jaramillo, Doctor en Informática -- despertaron en mí la inquietud de explorar un campo completamente nuevo: la inteligencia artificial aplicada a la investigación científica.</w:t>
      </w:r>
    </w:p>
    <w:p>
      <w:pPr>
        <w:spacing w:after="80" w:before="0" w:line="276"/>
      </w:pPr>
      <w:r>
        <w:rPr>
          <w:rFonts w:ascii="Times New Roman" w:cs="Times New Roman" w:eastAsia="Times New Roman" w:hAnsi="Times New Roman"/>
          <w:sz w:val="24"/>
          <w:szCs w:val="24"/>
        </w:rPr>
        <w:t xml:space="preserve"/>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El recorrido que aquí se presenta no es el de un programador experto, sino el de un investigador que decidió aprender haciendo, enfrentando errores y descubriendo posibilidades. La transición de usuario a arquitecto de procesos multiagente constituye el núcleo de esta obra.</w:t>
      </w:r>
    </w:p>
    <w:p>
      <w:pPr>
        <w:spacing w:after="80" w:before="0" w:line="276"/>
      </w:pPr>
      <w:r>
        <w:rPr>
          <w:rFonts w:ascii="Times New Roman" w:cs="Times New Roman" w:eastAsia="Times New Roman" w:hAnsi="Times New Roman"/>
          <w:sz w:val="24"/>
          <w:szCs w:val="24"/>
        </w:rPr>
        <w:t xml:space="preserve"/>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Con el tiempo comprendí que el verdadero valor de este sistema no reside únicamente en su capacidad de generar artículos científicos, sino también en su potencial como revisor académico. La posibilidad de auditar textos, verificar citas, detectar inconsistencias metodológicas y reforzar la transparencia convierte al espacio multiagente en una herramienta crítica para la comunidad científica.</w:t>
      </w:r>
    </w:p>
    <w:p>
      <w:pPr>
        <w:spacing w:after="80" w:before="0" w:line="276"/>
      </w:pPr>
      <w:r>
        <w:rPr>
          <w:rFonts w:ascii="Times New Roman" w:cs="Times New Roman" w:eastAsia="Times New Roman" w:hAnsi="Times New Roman"/>
          <w:sz w:val="24"/>
          <w:szCs w:val="24"/>
        </w:rPr>
        <w:t xml:space="preserve"/>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El propósito del libro es doble: narrar con transparencia los aciertos y dificultades de esta experiencia, y ofrecer un marco metodológico y crítico que permita a otros investigadores latinoamericanos reflexionar sobre el uso responsable de la IA en la producción y validación científica.</w:t>
      </w:r>
    </w:p>
    <w:p>
      <w:pPr>
        <w:spacing w:after="80" w:before="0" w:line="276"/>
      </w:pPr>
      <w:r>
        <w:rPr>
          <w:rFonts w:ascii="Times New Roman" w:cs="Times New Roman" w:eastAsia="Times New Roman" w:hAnsi="Times New Roman"/>
          <w:sz w:val="24"/>
          <w:szCs w:val="24"/>
        </w:rPr>
        <w:t xml:space="preserve"/>
      </w:r>
    </w:p>
    <w:p>
      <w:pPr>
        <w:spacing w:after="240" w:before="0" w:line="276"/>
        <w:ind/>
        <w:jc w:val="both"/>
      </w:pPr>
      <w:r>
        <w:rPr>
          <w:rFonts w:ascii="Times New Roman" w:cs="Times New Roman" w:eastAsia="Times New Roman" w:hAnsi="Times New Roman"/>
          <w:b w:val="false"/>
          <w:bCs w:val="false"/>
          <w:i w:val="false"/>
          <w:iCs w:val="false"/>
          <w:color w:val="000000"/>
          <w:sz w:val="24"/>
          <w:szCs w:val="24"/>
        </w:rPr>
        <w:t xml:space="preserve">Este libro debe leerse como una invitación: a experimentar, a cuestionar y a construir colectivamente un futuro en el que la inteligencia artificial no solo amplífique el conocimiento humano, sino que también lo audite y fortalezca, asegurando su legitimidad dentro de la comunidad científica.</w:t>
      </w:r>
    </w:p>
    <w:p>
      <w:r>
        <w:br w:type="page"/>
      </w:r>
    </w:p>
    <w:p>
      <w:pPr>
        <w:spacing w:after="160" w:before="0" w:line="276"/>
        <w:ind/>
        <w:jc w:val="left"/>
      </w:pPr>
      <w:r>
        <w:rPr>
          <w:rFonts w:ascii="Times New Roman" w:cs="Times New Roman" w:eastAsia="Times New Roman" w:hAnsi="Times New Roman"/>
          <w:b/>
          <w:bCs/>
          <w:i w:val="false"/>
          <w:iCs w:val="false"/>
          <w:color w:val="000000"/>
          <w:sz w:val="26"/>
          <w:szCs w:val="26"/>
        </w:rPr>
        <w:t xml:space="preserve">Introducción general</w:t>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La inteligencia artificial ha irrumpido en la vida académica con una fuerza que desafía las fronteras tradicionales del conocimiento. En pocos años, lo que parecía un recurso técnico reservado a la ingeniería se ha convertido en un tema de debate transversal que alcanza la filosofía, la educación, la sociología y la ética. Este libro surge en ese punto de encuentro: donde la mirada social se encuentra con la lógica informacional, y donde el investigador se transforma en arquitecto de procesos cognitivos asistidos por máquinas.</w:t>
      </w:r>
    </w:p>
    <w:p>
      <w:pPr>
        <w:spacing w:after="80" w:before="0" w:line="276"/>
      </w:pPr>
      <w:r>
        <w:rPr>
          <w:rFonts w:ascii="Times New Roman" w:cs="Times New Roman" w:eastAsia="Times New Roman" w:hAnsi="Times New Roman"/>
          <w:sz w:val="24"/>
          <w:szCs w:val="24"/>
        </w:rPr>
        <w:t xml:space="preserve"/>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La realidad es innegable: la inteligencia artificial ya está aquí y no se va a ir. Por el contrario, seguirá perfeccionándose, expandiendo sus aplicaciones y penetrando cada vez más en la vida académica y profesional. Ante este escenario, la pregunta no es si debemos aceptarla o rechazarla, sino cómo podemos usarla de manera responsable como herramienta de apoyo. La clave está en reconocer que la IA no sustituye al investigador, sino que amplífica su capacidad de análisis, organización y validación.</w:t>
      </w:r>
    </w:p>
    <w:p>
      <w:pPr>
        <w:spacing w:after="80" w:before="0" w:line="276"/>
      </w:pPr>
      <w:r>
        <w:rPr>
          <w:rFonts w:ascii="Times New Roman" w:cs="Times New Roman" w:eastAsia="Times New Roman" w:hAnsi="Times New Roman"/>
          <w:sz w:val="24"/>
          <w:szCs w:val="24"/>
        </w:rPr>
        <w:t xml:space="preserve"/>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La obra parte de una experiencia situada: la de un docente e investigador social que decide aprender haciendo, sin formación previa en programación, y que construye un sistema multiagente capaz de producir y revisar artículos científicos. Este gesto -- aprender desde la práctica -- encarna una forma de resistencia intelectual frente a la idea de que la tecnología pertenece solo a los expertos.</w:t>
      </w:r>
    </w:p>
    <w:p>
      <w:pPr>
        <w:spacing w:after="80" w:before="0" w:line="276"/>
      </w:pPr>
      <w:r>
        <w:rPr>
          <w:rFonts w:ascii="Times New Roman" w:cs="Times New Roman" w:eastAsia="Times New Roman" w:hAnsi="Times New Roman"/>
          <w:sz w:val="24"/>
          <w:szCs w:val="24"/>
        </w:rPr>
        <w:t xml:space="preserve"/>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Más que un manual técnico, esta obra es una invitación a pensar la ciencia desde la intersección entre lo social y lo informático. La IA, en este sentido, se convierte en un instrumento de apoyo transversal: revisor, organizador y generador de insumos, siempre bajo la dirección crítica del investigador.</w:t>
      </w:r>
    </w:p>
    <w:p>
      <w:pPr>
        <w:spacing w:after="80" w:before="0" w:line="276"/>
      </w:pPr>
      <w:r>
        <w:rPr>
          <w:rFonts w:ascii="Times New Roman" w:cs="Times New Roman" w:eastAsia="Times New Roman" w:hAnsi="Times New Roman"/>
          <w:sz w:val="24"/>
          <w:szCs w:val="24"/>
        </w:rPr>
        <w:t xml:space="preserve"/>
      </w:r>
    </w:p>
    <w:p>
      <w:pPr>
        <w:spacing w:after="120" w:before="0" w:line="276"/>
        <w:ind/>
        <w:jc w:val="left"/>
      </w:pPr>
      <w:r>
        <w:rPr>
          <w:rFonts w:ascii="Times New Roman" w:cs="Times New Roman" w:eastAsia="Times New Roman" w:hAnsi="Times New Roman"/>
          <w:b/>
          <w:bCs/>
          <w:i w:val="false"/>
          <w:iCs w:val="false"/>
          <w:color w:val="000000"/>
          <w:sz w:val="24"/>
          <w:szCs w:val="24"/>
        </w:rPr>
        <w:t xml:space="preserve">Índice</w:t>
      </w:r>
    </w:p>
    <w:p>
      <w:pPr>
        <w:spacing w:after="60" w:before="0" w:line="240"/>
        <w:ind/>
        <w:jc w:val="left"/>
      </w:pPr>
      <w:r>
        <w:rPr>
          <w:rFonts w:ascii="Times New Roman" w:cs="Times New Roman" w:eastAsia="Times New Roman" w:hAnsi="Times New Roman"/>
          <w:b/>
          <w:bCs/>
          <w:color w:val="000000"/>
          <w:sz w:val="22"/>
          <w:szCs w:val="22"/>
        </w:rPr>
        <w:t xml:space="preserve">Secciones Preliminares</w:t>
      </w:r>
    </w:p>
    <w:p>
      <w:pPr>
        <w:spacing w:after="60" w:before="0" w:line="240"/>
        <w:ind w:left="480"/>
        <w:jc w:val="left"/>
      </w:pPr>
      <w:r>
        <w:rPr>
          <w:rFonts w:ascii="Times New Roman" w:cs="Times New Roman" w:eastAsia="Times New Roman" w:hAnsi="Times New Roman"/>
          <w:b w:val="false"/>
          <w:bCs w:val="false"/>
          <w:color w:val="000000"/>
          <w:sz w:val="20"/>
          <w:szCs w:val="20"/>
        </w:rPr>
        <w:t xml:space="preserve">• Dedicatoria</w:t>
      </w:r>
    </w:p>
    <w:p>
      <w:pPr>
        <w:spacing w:after="60" w:before="0" w:line="240"/>
        <w:ind w:left="480"/>
        <w:jc w:val="left"/>
      </w:pPr>
      <w:r>
        <w:rPr>
          <w:rFonts w:ascii="Times New Roman" w:cs="Times New Roman" w:eastAsia="Times New Roman" w:hAnsi="Times New Roman"/>
          <w:b w:val="false"/>
          <w:bCs w:val="false"/>
          <w:color w:val="000000"/>
          <w:sz w:val="20"/>
          <w:szCs w:val="20"/>
        </w:rPr>
        <w:t xml:space="preserve">• Agradecimientos académicos</w:t>
      </w:r>
    </w:p>
    <w:p>
      <w:pPr>
        <w:spacing w:after="60" w:before="0" w:line="240"/>
        <w:ind w:left="480"/>
        <w:jc w:val="left"/>
      </w:pPr>
      <w:r>
        <w:rPr>
          <w:rFonts w:ascii="Times New Roman" w:cs="Times New Roman" w:eastAsia="Times New Roman" w:hAnsi="Times New Roman"/>
          <w:b w:val="false"/>
          <w:bCs w:val="false"/>
          <w:color w:val="000000"/>
          <w:sz w:val="20"/>
          <w:szCs w:val="20"/>
        </w:rPr>
        <w:t xml:space="preserve">• Prefacio</w:t>
      </w:r>
    </w:p>
    <w:p>
      <w:pPr>
        <w:spacing w:after="60" w:before="0" w:line="240"/>
        <w:ind w:left="480"/>
        <w:jc w:val="left"/>
      </w:pPr>
      <w:r>
        <w:rPr>
          <w:rFonts w:ascii="Times New Roman" w:cs="Times New Roman" w:eastAsia="Times New Roman" w:hAnsi="Times New Roman"/>
          <w:b w:val="false"/>
          <w:bCs w:val="false"/>
          <w:color w:val="000000"/>
          <w:sz w:val="20"/>
          <w:szCs w:val="20"/>
        </w:rPr>
        <w:t xml:space="preserve">• Introducción general</w:t>
      </w:r>
    </w:p>
    <w:p>
      <w:pPr>
        <w:spacing w:after="60" w:before="0" w:line="240"/>
        <w:ind/>
        <w:jc w:val="left"/>
      </w:pPr>
      <w:r>
        <w:rPr>
          <w:rFonts w:ascii="Times New Roman" w:cs="Times New Roman" w:eastAsia="Times New Roman" w:hAnsi="Times New Roman"/>
          <w:b/>
          <w:bCs/>
          <w:color w:val="000000"/>
          <w:sz w:val="22"/>
          <w:szCs w:val="22"/>
        </w:rPr>
        <w:t xml:space="preserve">Capítulo 1 – El punto de partida: del asombro al aprendizaje</w:t>
      </w:r>
    </w:p>
    <w:p>
      <w:pPr>
        <w:spacing w:after="60" w:before="0" w:line="240"/>
        <w:ind w:left="480"/>
        <w:jc w:val="left"/>
      </w:pPr>
      <w:r>
        <w:rPr>
          <w:rFonts w:ascii="Times New Roman" w:cs="Times New Roman" w:eastAsia="Times New Roman" w:hAnsi="Times New Roman"/>
          <w:b w:val="false"/>
          <w:bCs w:val="false"/>
          <w:color w:val="000000"/>
          <w:sz w:val="20"/>
          <w:szCs w:val="20"/>
        </w:rPr>
        <w:t xml:space="preserve">1.1 La irrupción de la inteligencia artificial en la academia</w:t>
      </w:r>
    </w:p>
    <w:p>
      <w:pPr>
        <w:spacing w:after="60" w:before="0" w:line="240"/>
        <w:ind w:left="480"/>
        <w:jc w:val="left"/>
      </w:pPr>
      <w:r>
        <w:rPr>
          <w:rFonts w:ascii="Times New Roman" w:cs="Times New Roman" w:eastAsia="Times New Roman" w:hAnsi="Times New Roman"/>
          <w:b w:val="false"/>
          <w:bCs w:val="false"/>
          <w:color w:val="000000"/>
          <w:sz w:val="20"/>
          <w:szCs w:val="20"/>
        </w:rPr>
        <w:t xml:space="preserve">1.2 Primeras aproximaciones desde las ciencias sociales</w:t>
      </w:r>
    </w:p>
    <w:p>
      <w:pPr>
        <w:spacing w:after="60" w:before="0" w:line="240"/>
        <w:ind w:left="480"/>
        <w:jc w:val="left"/>
      </w:pPr>
      <w:r>
        <w:rPr>
          <w:rFonts w:ascii="Times New Roman" w:cs="Times New Roman" w:eastAsia="Times New Roman" w:hAnsi="Times New Roman"/>
          <w:b w:val="false"/>
          <w:bCs w:val="false"/>
          <w:color w:val="000000"/>
          <w:sz w:val="20"/>
          <w:szCs w:val="20"/>
        </w:rPr>
        <w:t xml:space="preserve">1.3 El investigador situado</w:t>
      </w:r>
    </w:p>
    <w:p>
      <w:pPr>
        <w:spacing w:after="60" w:before="0" w:line="240"/>
        <w:ind w:left="480"/>
        <w:jc w:val="left"/>
      </w:pPr>
      <w:r>
        <w:rPr>
          <w:rFonts w:ascii="Times New Roman" w:cs="Times New Roman" w:eastAsia="Times New Roman" w:hAnsi="Times New Roman"/>
          <w:b w:val="false"/>
          <w:bCs w:val="false"/>
          <w:color w:val="000000"/>
          <w:sz w:val="20"/>
          <w:szCs w:val="20"/>
        </w:rPr>
        <w:t xml:space="preserve">1.4 Los desafíos iniciales</w:t>
      </w:r>
    </w:p>
    <w:p>
      <w:pPr>
        <w:spacing w:after="60" w:before="0" w:line="240"/>
        <w:ind w:left="480"/>
        <w:jc w:val="left"/>
      </w:pPr>
      <w:r>
        <w:rPr>
          <w:rFonts w:ascii="Times New Roman" w:cs="Times New Roman" w:eastAsia="Times New Roman" w:hAnsi="Times New Roman"/>
          <w:b w:val="false"/>
          <w:bCs w:val="false"/>
          <w:color w:val="000000"/>
          <w:sz w:val="20"/>
          <w:szCs w:val="20"/>
        </w:rPr>
        <w:t xml:space="preserve">1.5 Objetivo del libro</w:t>
      </w:r>
    </w:p>
    <w:p>
      <w:pPr>
        <w:spacing w:after="60" w:before="0" w:line="240"/>
        <w:ind/>
        <w:jc w:val="left"/>
      </w:pPr>
      <w:r>
        <w:rPr>
          <w:rFonts w:ascii="Times New Roman" w:cs="Times New Roman" w:eastAsia="Times New Roman" w:hAnsi="Times New Roman"/>
          <w:b/>
          <w:bCs/>
          <w:color w:val="000000"/>
          <w:sz w:val="22"/>
          <w:szCs w:val="22"/>
        </w:rPr>
        <w:t xml:space="preserve">Capítulo 2 – Testimonio honesto: aprender haciendo</w:t>
      </w:r>
    </w:p>
    <w:p>
      <w:pPr>
        <w:spacing w:after="60" w:before="0" w:line="240"/>
        <w:ind w:left="480"/>
        <w:jc w:val="left"/>
      </w:pPr>
      <w:r>
        <w:rPr>
          <w:rFonts w:ascii="Times New Roman" w:cs="Times New Roman" w:eastAsia="Times New Roman" w:hAnsi="Times New Roman"/>
          <w:b w:val="false"/>
          <w:bCs w:val="false"/>
          <w:color w:val="000000"/>
          <w:sz w:val="20"/>
          <w:szCs w:val="20"/>
        </w:rPr>
        <w:t xml:space="preserve">2.1 La experiencia inicial con SciAgent</w:t>
      </w:r>
    </w:p>
    <w:p>
      <w:pPr>
        <w:spacing w:after="60" w:before="0" w:line="240"/>
        <w:ind w:left="480"/>
        <w:jc w:val="left"/>
      </w:pPr>
      <w:r>
        <w:rPr>
          <w:rFonts w:ascii="Times New Roman" w:cs="Times New Roman" w:eastAsia="Times New Roman" w:hAnsi="Times New Roman"/>
          <w:b w:val="false"/>
          <w:bCs w:val="false"/>
          <w:color w:val="000000"/>
          <w:sz w:val="20"/>
          <w:szCs w:val="20"/>
        </w:rPr>
        <w:t xml:space="preserve">2.2 Errores, aciertos y aprendizajes</w:t>
      </w:r>
    </w:p>
    <w:p>
      <w:pPr>
        <w:spacing w:after="60" w:before="0" w:line="240"/>
        <w:ind w:left="480"/>
        <w:jc w:val="left"/>
      </w:pPr>
      <w:r>
        <w:rPr>
          <w:rFonts w:ascii="Times New Roman" w:cs="Times New Roman" w:eastAsia="Times New Roman" w:hAnsi="Times New Roman"/>
          <w:b w:val="false"/>
          <w:bCs w:val="false"/>
          <w:color w:val="000000"/>
          <w:sz w:val="20"/>
          <w:szCs w:val="20"/>
        </w:rPr>
        <w:t xml:space="preserve">2.3 La transparencia como valor metodológico</w:t>
      </w:r>
    </w:p>
    <w:p>
      <w:pPr>
        <w:spacing w:after="60" w:before="0" w:line="240"/>
        <w:ind w:left="480"/>
        <w:jc w:val="left"/>
      </w:pPr>
      <w:r>
        <w:rPr>
          <w:rFonts w:ascii="Times New Roman" w:cs="Times New Roman" w:eastAsia="Times New Roman" w:hAnsi="Times New Roman"/>
          <w:b w:val="false"/>
          <w:bCs w:val="false"/>
          <w:color w:val="000000"/>
          <w:sz w:val="20"/>
          <w:szCs w:val="20"/>
        </w:rPr>
        <w:t xml:space="preserve">2.4 Autoría de proceso: dirigir, corregir y asumir responsabilidad</w:t>
      </w:r>
    </w:p>
    <w:p>
      <w:pPr>
        <w:spacing w:after="60" w:before="0" w:line="240"/>
        <w:ind/>
        <w:jc w:val="left"/>
      </w:pPr>
      <w:r>
        <w:rPr>
          <w:rFonts w:ascii="Times New Roman" w:cs="Times New Roman" w:eastAsia="Times New Roman" w:hAnsi="Times New Roman"/>
          <w:b/>
          <w:bCs/>
          <w:color w:val="000000"/>
          <w:sz w:val="22"/>
          <w:szCs w:val="22"/>
        </w:rPr>
        <w:t xml:space="preserve">Capítulo 3 – Protocolo metodológico para sistemas multiagente</w:t>
      </w:r>
    </w:p>
    <w:p>
      <w:pPr>
        <w:spacing w:after="60" w:before="0" w:line="240"/>
        <w:ind w:left="480"/>
        <w:jc w:val="left"/>
      </w:pPr>
      <w:r>
        <w:rPr>
          <w:rFonts w:ascii="Times New Roman" w:cs="Times New Roman" w:eastAsia="Times New Roman" w:hAnsi="Times New Roman"/>
          <w:b w:val="false"/>
          <w:bCs w:val="false"/>
          <w:color w:val="000000"/>
          <w:sz w:val="20"/>
          <w:szCs w:val="20"/>
        </w:rPr>
        <w:t xml:space="preserve">3.1 Riesgos reales: alucinaciones, sesgos y dependencia tecnológica</w:t>
      </w:r>
    </w:p>
    <w:p>
      <w:pPr>
        <w:spacing w:after="60" w:before="0" w:line="240"/>
        <w:ind w:left="480"/>
        <w:jc w:val="left"/>
      </w:pPr>
      <w:r>
        <w:rPr>
          <w:rFonts w:ascii="Times New Roman" w:cs="Times New Roman" w:eastAsia="Times New Roman" w:hAnsi="Times New Roman"/>
          <w:b w:val="false"/>
          <w:bCs w:val="false"/>
          <w:color w:val="000000"/>
          <w:sz w:val="20"/>
          <w:szCs w:val="20"/>
        </w:rPr>
        <w:t xml:space="preserve">3.2 Validación científica: datos aportados vs. construcciones del modelo</w:t>
      </w:r>
    </w:p>
    <w:p>
      <w:pPr>
        <w:spacing w:after="60" w:before="0" w:line="240"/>
        <w:ind w:left="480"/>
        <w:jc w:val="left"/>
      </w:pPr>
      <w:r>
        <w:rPr>
          <w:rFonts w:ascii="Times New Roman" w:cs="Times New Roman" w:eastAsia="Times New Roman" w:hAnsi="Times New Roman"/>
          <w:b w:val="false"/>
          <w:bCs w:val="false"/>
          <w:color w:val="000000"/>
          <w:sz w:val="20"/>
          <w:szCs w:val="20"/>
        </w:rPr>
        <w:t xml:space="preserve">3.3 Replicabilidad responsable: condiciones mínimas</w:t>
      </w:r>
    </w:p>
    <w:p>
      <w:pPr>
        <w:spacing w:after="60" w:before="0" w:line="240"/>
        <w:ind/>
        <w:jc w:val="left"/>
      </w:pPr>
      <w:r>
        <w:rPr>
          <w:rFonts w:ascii="Times New Roman" w:cs="Times New Roman" w:eastAsia="Times New Roman" w:hAnsi="Times New Roman"/>
          <w:b/>
          <w:bCs/>
          <w:color w:val="000000"/>
          <w:sz w:val="22"/>
          <w:szCs w:val="22"/>
        </w:rPr>
        <w:t xml:space="preserve">Capítulo 4 – El sistema como revisor académico</w:t>
      </w:r>
    </w:p>
    <w:p>
      <w:pPr>
        <w:spacing w:after="60" w:before="0" w:line="240"/>
        <w:ind w:left="480"/>
        <w:jc w:val="left"/>
      </w:pPr>
      <w:r>
        <w:rPr>
          <w:rFonts w:ascii="Times New Roman" w:cs="Times New Roman" w:eastAsia="Times New Roman" w:hAnsi="Times New Roman"/>
          <w:b w:val="false"/>
          <w:bCs w:val="false"/>
          <w:color w:val="000000"/>
          <w:sz w:val="20"/>
          <w:szCs w:val="20"/>
        </w:rPr>
        <w:t xml:space="preserve">4.1 De generador a auditor: evolución del propósito</w:t>
      </w:r>
    </w:p>
    <w:p>
      <w:pPr>
        <w:spacing w:after="60" w:before="0" w:line="240"/>
        <w:ind w:left="480"/>
        <w:jc w:val="left"/>
      </w:pPr>
      <w:r>
        <w:rPr>
          <w:rFonts w:ascii="Times New Roman" w:cs="Times New Roman" w:eastAsia="Times New Roman" w:hAnsi="Times New Roman"/>
          <w:b w:val="false"/>
          <w:bCs w:val="false"/>
          <w:color w:val="000000"/>
          <w:sz w:val="20"/>
          <w:szCs w:val="20"/>
        </w:rPr>
        <w:t xml:space="preserve">4.2 Verificación de citas y coherencia metodológica</w:t>
      </w:r>
    </w:p>
    <w:p>
      <w:pPr>
        <w:spacing w:after="60" w:before="0" w:line="240"/>
        <w:ind w:left="480"/>
        <w:jc w:val="left"/>
      </w:pPr>
      <w:r>
        <w:rPr>
          <w:rFonts w:ascii="Times New Roman" w:cs="Times New Roman" w:eastAsia="Times New Roman" w:hAnsi="Times New Roman"/>
          <w:b w:val="false"/>
          <w:bCs w:val="false"/>
          <w:color w:val="000000"/>
          <w:sz w:val="20"/>
          <w:szCs w:val="20"/>
        </w:rPr>
        <w:t xml:space="preserve">4.3 Protocolos de revisión cruzada humano-IA</w:t>
      </w:r>
    </w:p>
    <w:p>
      <w:pPr>
        <w:spacing w:after="60" w:before="0" w:line="240"/>
        <w:ind/>
        <w:jc w:val="left"/>
      </w:pPr>
      <w:r>
        <w:rPr>
          <w:rFonts w:ascii="Times New Roman" w:cs="Times New Roman" w:eastAsia="Times New Roman" w:hAnsi="Times New Roman"/>
          <w:b/>
          <w:bCs/>
          <w:color w:val="000000"/>
          <w:sz w:val="22"/>
          <w:szCs w:val="22"/>
        </w:rPr>
        <w:t xml:space="preserve">Capítulo 5 – Marco crítico y prospectivo</w:t>
      </w:r>
    </w:p>
    <w:p>
      <w:pPr>
        <w:spacing w:after="60" w:before="0" w:line="240"/>
        <w:ind w:left="480"/>
        <w:jc w:val="left"/>
      </w:pPr>
      <w:r>
        <w:rPr>
          <w:rFonts w:ascii="Times New Roman" w:cs="Times New Roman" w:eastAsia="Times New Roman" w:hAnsi="Times New Roman"/>
          <w:b w:val="false"/>
          <w:bCs w:val="false"/>
          <w:color w:val="000000"/>
          <w:sz w:val="20"/>
          <w:szCs w:val="20"/>
        </w:rPr>
        <w:t xml:space="preserve">5.1 Riesgos estructurales: sesgos, privacidad y autoría compartida</w:t>
      </w:r>
    </w:p>
    <w:p>
      <w:pPr>
        <w:spacing w:after="60" w:before="0" w:line="240"/>
        <w:ind w:left="480"/>
        <w:jc w:val="left"/>
      </w:pPr>
      <w:r>
        <w:rPr>
          <w:rFonts w:ascii="Times New Roman" w:cs="Times New Roman" w:eastAsia="Times New Roman" w:hAnsi="Times New Roman"/>
          <w:b w:val="false"/>
          <w:bCs w:val="false"/>
          <w:color w:val="000000"/>
          <w:sz w:val="20"/>
          <w:szCs w:val="20"/>
        </w:rPr>
        <w:t xml:space="preserve">5.2 La autoría de proceso como nuevo paradigma académico</w:t>
      </w:r>
    </w:p>
    <w:p>
      <w:pPr>
        <w:spacing w:after="60" w:before="0" w:line="240"/>
        <w:ind/>
        <w:jc w:val="left"/>
      </w:pPr>
      <w:r>
        <w:rPr>
          <w:rFonts w:ascii="Times New Roman" w:cs="Times New Roman" w:eastAsia="Times New Roman" w:hAnsi="Times New Roman"/>
          <w:b/>
          <w:bCs/>
          <w:color w:val="000000"/>
          <w:sz w:val="22"/>
          <w:szCs w:val="22"/>
        </w:rPr>
        <w:t xml:space="preserve">Capítulo 6 – Aplicaciones prácticas y casos de uso</w:t>
      </w:r>
    </w:p>
    <w:p>
      <w:pPr>
        <w:spacing w:after="60" w:before="0" w:line="240"/>
        <w:ind w:left="480"/>
        <w:jc w:val="left"/>
      </w:pPr>
      <w:r>
        <w:rPr>
          <w:rFonts w:ascii="Times New Roman" w:cs="Times New Roman" w:eastAsia="Times New Roman" w:hAnsi="Times New Roman"/>
          <w:b w:val="false"/>
          <w:bCs w:val="false"/>
          <w:color w:val="000000"/>
          <w:sz w:val="20"/>
          <w:szCs w:val="20"/>
        </w:rPr>
        <w:t xml:space="preserve">6.1 Experiencias en docencia universitaria</w:t>
      </w:r>
    </w:p>
    <w:p>
      <w:pPr>
        <w:spacing w:after="60" w:before="0" w:line="240"/>
        <w:ind w:left="480"/>
        <w:jc w:val="left"/>
      </w:pPr>
      <w:r>
        <w:rPr>
          <w:rFonts w:ascii="Times New Roman" w:cs="Times New Roman" w:eastAsia="Times New Roman" w:hAnsi="Times New Roman"/>
          <w:b w:val="false"/>
          <w:bCs w:val="false"/>
          <w:color w:val="000000"/>
          <w:sz w:val="20"/>
          <w:szCs w:val="20"/>
        </w:rPr>
        <w:t xml:space="preserve">6.2 Uso en investigación aplicada: territorio, prospectiva, cuencas</w:t>
      </w:r>
    </w:p>
    <w:p>
      <w:pPr>
        <w:spacing w:after="60" w:before="0" w:line="240"/>
        <w:ind/>
        <w:jc w:val="left"/>
      </w:pPr>
      <w:r>
        <w:rPr>
          <w:rFonts w:ascii="Times New Roman" w:cs="Times New Roman" w:eastAsia="Times New Roman" w:hAnsi="Times New Roman"/>
          <w:b/>
          <w:bCs/>
          <w:color w:val="000000"/>
          <w:sz w:val="22"/>
          <w:szCs w:val="22"/>
        </w:rPr>
        <w:t xml:space="preserve">Capítulo 7 – Agenda latinoamericana y visión de futuro</w:t>
      </w:r>
    </w:p>
    <w:p>
      <w:pPr>
        <w:spacing w:after="60" w:before="0" w:line="240"/>
        <w:ind w:left="480"/>
        <w:jc w:val="left"/>
      </w:pPr>
      <w:r>
        <w:rPr>
          <w:rFonts w:ascii="Times New Roman" w:cs="Times New Roman" w:eastAsia="Times New Roman" w:hAnsi="Times New Roman"/>
          <w:b w:val="false"/>
          <w:bCs w:val="false"/>
          <w:color w:val="000000"/>
          <w:sz w:val="20"/>
          <w:szCs w:val="20"/>
        </w:rPr>
        <w:t xml:space="preserve">7.1 Brechas tecnológicas y soberanía digital</w:t>
      </w:r>
    </w:p>
    <w:p>
      <w:pPr>
        <w:spacing w:after="60" w:before="0" w:line="240"/>
        <w:ind w:left="480"/>
        <w:jc w:val="left"/>
      </w:pPr>
      <w:r>
        <w:rPr>
          <w:rFonts w:ascii="Times New Roman" w:cs="Times New Roman" w:eastAsia="Times New Roman" w:hAnsi="Times New Roman"/>
          <w:b w:val="false"/>
          <w:bCs w:val="false"/>
          <w:color w:val="000000"/>
          <w:sz w:val="20"/>
          <w:szCs w:val="20"/>
        </w:rPr>
        <w:t xml:space="preserve">7.2 Formación de investigadores del futuro</w:t>
      </w:r>
    </w:p>
    <w:p>
      <w:pPr>
        <w:spacing w:after="60" w:before="0" w:line="240"/>
        <w:ind/>
        <w:jc w:val="left"/>
      </w:pPr>
      <w:r>
        <w:rPr>
          <w:rFonts w:ascii="Times New Roman" w:cs="Times New Roman" w:eastAsia="Times New Roman" w:hAnsi="Times New Roman"/>
          <w:b/>
          <w:bCs/>
          <w:color w:val="000000"/>
          <w:sz w:val="22"/>
          <w:szCs w:val="22"/>
        </w:rPr>
        <w:t xml:space="preserve">Anexos</w:t>
      </w:r>
    </w:p>
    <w:p>
      <w:pPr>
        <w:spacing w:after="60" w:before="0" w:line="240"/>
        <w:ind/>
        <w:jc w:val="left"/>
      </w:pPr>
      <w:r>
        <w:rPr>
          <w:rFonts w:ascii="Times New Roman" w:cs="Times New Roman" w:eastAsia="Times New Roman" w:hAnsi="Times New Roman"/>
          <w:b/>
          <w:bCs/>
          <w:color w:val="000000"/>
          <w:sz w:val="22"/>
          <w:szCs w:val="22"/>
        </w:rPr>
        <w:t xml:space="preserve">Referencias bibliográficas</w:t>
      </w:r>
    </w:p>
    <w:p>
      <w:r>
        <w:br w:type="page"/>
      </w:r>
    </w:p>
    <w:p>
      <w:pPr>
        <w:spacing w:after="200" w:before="400" w:line="276"/>
        <w:jc w:val="left"/>
      </w:pPr>
      <w:r>
        <w:rPr>
          <w:rFonts w:ascii="Times New Roman" w:cs="Times New Roman" w:eastAsia="Times New Roman" w:hAnsi="Times New Roman"/>
          <w:b/>
          <w:bCs/>
          <w:color w:val="000000"/>
          <w:sz w:val="28"/>
          <w:szCs w:val="28"/>
        </w:rPr>
        <w:t xml:space="preserve">Capítulo 1</w:t>
      </w:r>
    </w:p>
    <w:p>
      <w:pPr>
        <w:spacing w:after="240" w:before="0" w:line="276"/>
        <w:jc w:val="left"/>
      </w:pPr>
      <w:r>
        <w:rPr>
          <w:rFonts w:ascii="Times New Roman" w:cs="Times New Roman" w:eastAsia="Times New Roman" w:hAnsi="Times New Roman"/>
          <w:b/>
          <w:bCs/>
          <w:color w:val="1A2F4A"/>
          <w:sz w:val="32"/>
          <w:szCs w:val="32"/>
        </w:rPr>
        <w:t xml:space="preserve">El punto de partida: del asombro al aprendizaje</w:t>
      </w:r>
    </w:p>
    <w:p>
      <w:pPr>
        <w:pBdr>
          <w:top w:val="single" w:color="1A2F4A" w:sz="4"/>
          <w:bottom w:val="single" w:color="1A2F4A" w:sz="4"/>
          <w:left w:val="single" w:color="1A2F4A" w:sz="6"/>
          <w:right w:val="single" w:color="1A2F4A" w:sz="6"/>
        </w:pBdr>
        <w:spacing w:after="200" w:before="120" w:line="276"/>
        <w:ind w:left="720" w:right="720"/>
        <w:jc w:val="both"/>
      </w:pPr>
      <w:r>
        <w:rPr>
          <w:rFonts w:ascii="Times New Roman" w:cs="Times New Roman" w:eastAsia="Times New Roman" w:hAnsi="Times New Roman"/>
          <w:i/>
          <w:iCs/>
          <w:color w:val="1A2F4A"/>
          <w:sz w:val="22"/>
          <w:szCs w:val="22"/>
        </w:rPr>
        <w:t xml:space="preserve">«La IA ya está aquí y no se va a ir. La pregunta no es si usarla o no. La pregunta es cómo la puedo usar para mi práctica docente y profesional.»
Manuel J. Sotomayor-Fernández</w:t>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La primera reacción frente a la inteligencia artificial fue de asombro. Como sociólogo habituado a trabajar con categorías sociales, teorías críticas y metodologías cualitativas, la idea de que una máquina pudiera redactar textos académicos parecía más un experimento curioso que una herramienta real. Ese asombro inicial, sin embargo, pronto se transformó en inquietud genuina: {&lt;}qué significa para la investigación social que un sistema pueda producir, organizar y revisar conocimiento?</w:t>
      </w:r>
    </w:p>
    <w:p>
      <w:pPr>
        <w:spacing w:after="80" w:before="0" w:line="276"/>
      </w:pPr>
      <w:r>
        <w:rPr>
          <w:rFonts w:ascii="Times New Roman" w:cs="Times New Roman" w:eastAsia="Times New Roman" w:hAnsi="Times New Roman"/>
          <w:sz w:val="24"/>
          <w:szCs w:val="24"/>
        </w:rPr>
        <w:t xml:space="preserve"/>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El camino comenzó con pruebas simples: pedir a un modelo que redactara párrafos, que resumiera lecturas, que sugiriera bibliografía. Los resultados eran sorprendentes pero también problemáticos. Había errores, citas inventadas y una falta de rigor metodológico que evidenciaba la necesidad de control humano. Fue en ese momento cuando comprendí que la inteligencia artificial no debía verse como sustituto, sino como aliado crítico -- capaz de ampliar la mirada del investigador sin reemplazarla.</w:t>
      </w:r>
    </w:p>
    <w:p>
      <w:pPr>
        <w:spacing w:after="80" w:before="0" w:line="276"/>
      </w:pPr>
      <w:r>
        <w:rPr>
          <w:rFonts w:ascii="Times New Roman" w:cs="Times New Roman" w:eastAsia="Times New Roman" w:hAnsi="Times New Roman"/>
          <w:sz w:val="24"/>
          <w:szCs w:val="24"/>
        </w:rPr>
        <w:t xml:space="preserve"/>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Las tertulias con el Dr. Javier Jaramillo, Doctor en Informática, fueron decisivas. En cada conversación, la frontera entre lo social y lo informático se volvía más permeable. Lo que para mí era un terreno desconocido, para él era un espacio lleno de posibilidades técnicas. Poco a poco, esas charlas me indujeron a explorar un tema nuevo, a perder el miedo y a reconocer que el aprendizaje interdisciplinario era no solo posible, sino necesario. La informática dejaba de ser un lenguaje ajeno para convertirse en un puente hacia nuevas formas de investigación.</w:t>
      </w:r>
    </w:p>
    <w:p>
      <w:pPr>
        <w:spacing w:after="80" w:before="0" w:line="276"/>
      </w:pPr>
      <w:r>
        <w:rPr>
          <w:rFonts w:ascii="Times New Roman" w:cs="Times New Roman" w:eastAsia="Times New Roman" w:hAnsi="Times New Roman"/>
          <w:sz w:val="24"/>
          <w:szCs w:val="24"/>
        </w:rPr>
        <w:t xml:space="preserve"/>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El aprendizaje fue práctico y artesanal: construir un sistema multiagente, probarlo, equivocarse, corregirlo. No hubo manual previo ni formación técnica formal, solo la convicción de que la investigación social debía dialogar con la informática para no quedar rezagada. Esa convicción se convirtió en motor de este proyecto y en la base de una metodología que combina ensayo y error con reflexión crítica.</w:t>
      </w:r>
    </w:p>
    <w:p>
      <w:pPr>
        <w:spacing w:after="160" w:before="0" w:line="276"/>
      </w:pPr>
      <w:r>
        <w:rPr>
          <w:rFonts w:ascii="Times New Roman" w:cs="Times New Roman" w:eastAsia="Times New Roman" w:hAnsi="Times New Roman"/>
          <w:sz w:val="24"/>
          <w:szCs w:val="24"/>
        </w:rPr>
        <w:t xml:space="preserve"/>
      </w:r>
    </w:p>
    <w:p>
      <w:pPr>
        <w:spacing w:after="160" w:before="320" w:line="276"/>
        <w:jc w:val="left"/>
      </w:pPr>
      <w:r>
        <w:rPr>
          <w:rFonts w:ascii="Times New Roman" w:cs="Times New Roman" w:eastAsia="Times New Roman" w:hAnsi="Times New Roman"/>
          <w:b/>
          <w:bCs/>
          <w:color w:val="000000"/>
          <w:sz w:val="26"/>
          <w:szCs w:val="26"/>
        </w:rPr>
        <w:t xml:space="preserve">1.1. La irrupción de la inteligencia artificial en la academia</w:t>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La llegada de la inteligencia artificial a la vida académica ha sido vertiginosa. En pocos años, lo que parecía un recurso técnico reservado a la ingeniería se convirtió en un tema transversal que atraviesa todas las disciplinas. La IA no solo redacta textos o procesa datos: cuestiona la manera en que producimos, validamos y compartimos conocimiento.</w:t>
      </w:r>
    </w:p>
    <w:p>
      <w:pPr>
        <w:spacing w:after="80" w:before="0" w:line="276"/>
      </w:pPr>
      <w:r>
        <w:rPr>
          <w:rFonts w:ascii="Times New Roman" w:cs="Times New Roman" w:eastAsia="Times New Roman" w:hAnsi="Times New Roman"/>
          <w:sz w:val="24"/>
          <w:szCs w:val="24"/>
        </w:rPr>
        <w:t xml:space="preserve"/>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En la academia, esta irrupción generó reacciones diversas. Por un lado, entusiasmo por las posibilidades de automatizar tareas, acelerar procesos y ampliar la capacidad de análisis. Por otro, preocupación genuina por los riesgos: pérdida de rigor metodológico, proliferación de citas falsas, dependencia excesiva de sistemas opacos. La discusión sobre la autoría, la ética y la reproducibilidad se volvió central (Zawacki-Richter et al., 2019).</w:t>
      </w:r>
    </w:p>
    <w:p>
      <w:pPr>
        <w:spacing w:after="80" w:before="0" w:line="276"/>
      </w:pPr>
      <w:r>
        <w:rPr>
          <w:rFonts w:ascii="Times New Roman" w:cs="Times New Roman" w:eastAsia="Times New Roman" w:hAnsi="Times New Roman"/>
          <w:sz w:val="24"/>
          <w:szCs w:val="24"/>
        </w:rPr>
        <w:t xml:space="preserve"/>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En América Latina, este debate es aún incipiente. La mayoría de universidades y centros de investigación apenas comienzan a explorar cómo integrar la IA en sus prácticas. Rojas y Chiappe (2024) documentaron que la adopción acelerada de herramientas de IA en la investigación universitaria latinoamericana rara vez va acompañada de protocolos críticos de verificación. Esto abre un espacio de oportunidad: pensar desde nuestra región un uso crítico y responsable que construya protocolos propios, adaptados a nuestras realidades institucionales y tecnológicas.</w:t>
      </w:r>
    </w:p>
    <w:p>
      <w:pPr>
        <w:spacing w:after="160" w:before="0" w:line="276"/>
      </w:pPr>
      <w:r>
        <w:rPr>
          <w:rFonts w:ascii="Times New Roman" w:cs="Times New Roman" w:eastAsia="Times New Roman" w:hAnsi="Times New Roman"/>
          <w:sz w:val="24"/>
          <w:szCs w:val="24"/>
        </w:rPr>
        <w:t xml:space="preserve"/>
      </w:r>
    </w:p>
    <w:p>
      <w:pPr>
        <w:spacing w:after="160" w:before="320" w:line="276"/>
        <w:jc w:val="left"/>
      </w:pPr>
      <w:r>
        <w:rPr>
          <w:rFonts w:ascii="Times New Roman" w:cs="Times New Roman" w:eastAsia="Times New Roman" w:hAnsi="Times New Roman"/>
          <w:b/>
          <w:bCs/>
          <w:color w:val="000000"/>
          <w:sz w:val="26"/>
          <w:szCs w:val="26"/>
        </w:rPr>
        <w:t xml:space="preserve">1.2. Primeras aproximaciones desde las ciencias sociales</w:t>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Como sociólogo, mi primera aproximación a la IA estuvo marcada por la curiosidad y la distancia crítica. Las pruebas iniciales revelaron limitaciones graves: citas inventadas, referencias incompletas, argumentos construidos con apariencia de solidez pero sin respaldo empírico. Esa experiencia me obligó a reconocer algo fundamental: la IA no podía ser aceptada sin filtros. Debía ser sometida a un proceso de revisión crítica sistemática, igual que cualquier fuente académica.</w:t>
      </w:r>
    </w:p>
    <w:p>
      <w:pPr>
        <w:spacing w:after="80" w:before="0" w:line="276"/>
      </w:pPr>
      <w:r>
        <w:rPr>
          <w:rFonts w:ascii="Times New Roman" w:cs="Times New Roman" w:eastAsia="Times New Roman" w:hAnsi="Times New Roman"/>
          <w:sz w:val="24"/>
          <w:szCs w:val="24"/>
        </w:rPr>
        <w:t xml:space="preserve"/>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Fue en este punto donde las tertulias con el Dr. Javier Jaramillo marcaron un giro decisivo. Sus aportes me ayudaron a comprender que la informática no era un territorio ajeno, sino un lenguaje que podía dialogar con las ciencias sociales. La conclusión fue clara: la IA no debía ser vista como sustituto del investigador, sino como herramienta de apoyo. Su verdadero valor no está únicamente en generar textos, sino en revisarlos, auditarlos y fortalecer su calidad.</w:t>
      </w:r>
    </w:p>
    <w:p>
      <w:pPr>
        <w:spacing w:after="80" w:before="0" w:line="276"/>
      </w:pPr>
      <w:r>
        <w:rPr>
          <w:rFonts w:ascii="Times New Roman" w:cs="Times New Roman" w:eastAsia="Times New Roman" w:hAnsi="Times New Roman"/>
          <w:sz w:val="24"/>
          <w:szCs w:val="24"/>
        </w:rPr>
        <w:t xml:space="preserve"/>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Desde esta perspectiva, la sociología encuentra en la informática un aliado estratégico para ampliar su horizonte metodológico y crítico. No para perder identidad disciplinaria, sino para ganar rigor y nuevas perspectivas en un mundo donde el conocimiento se produce, circula y valida de maneras radicalmente distintas a las de hace una década.</w:t>
      </w:r>
    </w:p>
    <w:p>
      <w:pPr>
        <w:spacing w:after="160" w:before="0" w:line="276"/>
      </w:pPr>
      <w:r>
        <w:rPr>
          <w:rFonts w:ascii="Times New Roman" w:cs="Times New Roman" w:eastAsia="Times New Roman" w:hAnsi="Times New Roman"/>
          <w:sz w:val="24"/>
          <w:szCs w:val="24"/>
        </w:rPr>
        <w:t xml:space="preserve"/>
      </w:r>
    </w:p>
    <w:p>
      <w:pPr>
        <w:spacing w:after="160" w:before="320" w:line="276"/>
        <w:jc w:val="left"/>
      </w:pPr>
      <w:r>
        <w:rPr>
          <w:rFonts w:ascii="Times New Roman" w:cs="Times New Roman" w:eastAsia="Times New Roman" w:hAnsi="Times New Roman"/>
          <w:b/>
          <w:bCs/>
          <w:color w:val="000000"/>
          <w:sz w:val="26"/>
          <w:szCs w:val="26"/>
        </w:rPr>
        <w:t xml:space="preserve">1.3. El investigador situado</w:t>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La irrupción de la inteligencia artificial no se vive igual en todos los contextos. En mi caso, como investigador social en una universidad peruana en Piura, el acercamiento a la IA estuvo marcado por condiciones propias de la región: acceso limitado a recursos tecnológicos, debates aún incipientes sobre ética digital, conectividad variable -- el proyecto de instalación de banda ancha en Piura alcanza menos del 40% de avance (ComexPerú, 2026) -- y una comunidad académica que recién empieza a explorar estas herramientas.</w:t>
      </w:r>
    </w:p>
    <w:p>
      <w:pPr>
        <w:spacing w:after="80" w:before="0" w:line="276"/>
      </w:pPr>
      <w:r>
        <w:rPr>
          <w:rFonts w:ascii="Times New Roman" w:cs="Times New Roman" w:eastAsia="Times New Roman" w:hAnsi="Times New Roman"/>
          <w:sz w:val="24"/>
          <w:szCs w:val="24"/>
        </w:rPr>
        <w:t xml:space="preserve"/>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Este «estar situado» me obligó a reconocer que la IA no podía ser abordada como un fenómeno abstracto, sino como una práctica concreta que debía adaptarse a las realidades locales. La pregunta no era solo cómo usarla, sino cómo hacerlo desde un contexto latinoamericano, con sus desafíos de infraestructura, formación y legitimidad científica. Luckin (2018) advirtió que las tecnologías de IA en educación tienden a reproducir las desigualdades preexistentes si no se diseñan con criterios de equidad desde el inicio. En Piura, esa advertencia no es abstracta: es una condición operativa.</w:t>
      </w:r>
    </w:p>
    <w:p>
      <w:pPr>
        <w:spacing w:after="80" w:before="0" w:line="276"/>
      </w:pPr>
      <w:r>
        <w:rPr>
          <w:rFonts w:ascii="Times New Roman" w:cs="Times New Roman" w:eastAsia="Times New Roman" w:hAnsi="Times New Roman"/>
          <w:sz w:val="24"/>
          <w:szCs w:val="24"/>
        </w:rPr>
        <w:t xml:space="preserve"/>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Mi perfil como investigador situado cubre tres décadas de trabajo en desarrollo rural, planificación estratégica, gestión de cuencas hidrográficas, emergencias y desastres, y docencia universitaria. Ese recorrido -- que no incluye ninguna formación en programación -- es precisamente el que hace relevante esta experiencia para otros investigadores latinoamericanos en condiciones similares: la distancia entre el conocimiento disciplinario y la habilidad técnica no es un obstáculo insuperable. Es el punto de partida.</w:t>
      </w:r>
    </w:p>
    <w:p>
      <w:pPr>
        <w:spacing w:after="160" w:before="0" w:line="276"/>
      </w:pPr>
      <w:r>
        <w:rPr>
          <w:rFonts w:ascii="Times New Roman" w:cs="Times New Roman" w:eastAsia="Times New Roman" w:hAnsi="Times New Roman"/>
          <w:sz w:val="24"/>
          <w:szCs w:val="24"/>
        </w:rPr>
        <w:t xml:space="preserve"/>
      </w:r>
    </w:p>
    <w:p>
      <w:pPr>
        <w:spacing w:after="160" w:before="320" w:line="276"/>
        <w:jc w:val="left"/>
      </w:pPr>
      <w:r>
        <w:rPr>
          <w:rFonts w:ascii="Times New Roman" w:cs="Times New Roman" w:eastAsia="Times New Roman" w:hAnsi="Times New Roman"/>
          <w:b/>
          <w:bCs/>
          <w:color w:val="000000"/>
          <w:sz w:val="26"/>
          <w:szCs w:val="26"/>
        </w:rPr>
        <w:t xml:space="preserve">1.4. Los desafíos iniciales</w:t>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Los primeros pasos estuvieron llenos de obstáculos concretos. La falta de formación técnica en programación, la dificultad para comprender la lógica de los algoritmos y la ausencia de manuales claros hicieron que el aprendizaje fuera lento y lleno de errores. Cada intento de usar la IA para producir textos académicos revelaba problemas: citas inventadas, referencias incompletas, argumentos poco sólidos.</w:t>
      </w:r>
    </w:p>
    <w:p>
      <w:pPr>
        <w:spacing w:after="80" w:before="0" w:line="276"/>
      </w:pPr>
      <w:r>
        <w:rPr>
          <w:rFonts w:ascii="Times New Roman" w:cs="Times New Roman" w:eastAsia="Times New Roman" w:hAnsi="Times New Roman"/>
          <w:sz w:val="24"/>
          <w:szCs w:val="24"/>
        </w:rPr>
        <w:t xml:space="preserve"/>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Pero esos errores -- lejos de desalentar -- se convirtieron en oportunidades para reflexionar sobre la necesidad de control humano y de protocolos de validación. Comprendí que la IA no podía ser aceptada sin filtros, sino que debía ser sometida a revisión crítica permanente. Lave y Wenger (1991) llaman a esto aprendizaje situado: el conocimiento que emerge de la participación directa en una práctica, no de la observación externa. Cada error fue un paso de ese aprendizaje.</w:t>
      </w:r>
    </w:p>
    <w:p>
      <w:pPr>
        <w:spacing w:after="80" w:before="0" w:line="276"/>
      </w:pPr>
      <w:r>
        <w:rPr>
          <w:rFonts w:ascii="Times New Roman" w:cs="Times New Roman" w:eastAsia="Times New Roman" w:hAnsi="Times New Roman"/>
          <w:sz w:val="24"/>
          <w:szCs w:val="24"/>
        </w:rPr>
        <w:t xml:space="preserve"/>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Hubo un desafío que resultó más valioso que todos los demás: la primera vez que el sistema generó una cita bibliográfica perfectamente formateada en APA 7, con autor real, año plausible, título coherente y DOI aparentemente válido -- que en realidad no existía. Esa experiencia, antes de que el investigador pudiera verificarla, ilustró con claridad el riesgo central de estos sistemas: no es la incompetencia, es la plausibilidad. Un error obvio se corrige fácilmente. Un error convincente puede pasar desapercibido si no hay un investigador con conocimiento disciplinario profundo que lo detecte.</w:t>
      </w:r>
    </w:p>
    <w:p>
      <w:pPr>
        <w:spacing w:after="160" w:before="0" w:line="276"/>
      </w:pPr>
      <w:r>
        <w:rPr>
          <w:rFonts w:ascii="Times New Roman" w:cs="Times New Roman" w:eastAsia="Times New Roman" w:hAnsi="Times New Roman"/>
          <w:sz w:val="24"/>
          <w:szCs w:val="24"/>
        </w:rPr>
        <w:t xml:space="preserve"/>
      </w:r>
    </w:p>
    <w:p>
      <w:pPr>
        <w:spacing w:after="160" w:before="320" w:line="276"/>
        <w:jc w:val="left"/>
      </w:pPr>
      <w:r>
        <w:rPr>
          <w:rFonts w:ascii="Times New Roman" w:cs="Times New Roman" w:eastAsia="Times New Roman" w:hAnsi="Times New Roman"/>
          <w:b/>
          <w:bCs/>
          <w:color w:val="000000"/>
          <w:sz w:val="26"/>
          <w:szCs w:val="26"/>
        </w:rPr>
        <w:t xml:space="preserve">1.5. El objetivo del libro</w:t>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De esta experiencia surge el propósito central de este libro: mostrar que la inteligencia artificial puede ser una herramienta de apoyo para la investigación social, siempre que se use con rigor y responsabilidad. El objetivo no es presentar un manual técnico ni un tratado informático, sino narrar un proceso de aprendizaje interdisciplinario y proponer un marco metodológico que permita a otros investigadores latinoamericanos integrar la IA en su práctica académica.</w:t>
      </w:r>
    </w:p>
    <w:p>
      <w:pPr>
        <w:spacing w:after="80" w:before="0" w:line="276"/>
      </w:pPr>
      <w:r>
        <w:rPr>
          <w:rFonts w:ascii="Times New Roman" w:cs="Times New Roman" w:eastAsia="Times New Roman" w:hAnsi="Times New Roman"/>
          <w:sz w:val="24"/>
          <w:szCs w:val="24"/>
        </w:rPr>
        <w:t xml:space="preserve"/>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El libro busca demostrar que el verdadero valor de la IA no está únicamente en generar textos, sino en revisarlos, auditarlos y fortalecer su calidad. Desde esta perspectiva, la sociología encuentra en la informática un aliado estratégico para ampliar su horizonte metodológico y crítico.</w:t>
      </w:r>
    </w:p>
    <w:p>
      <w:pPr>
        <w:spacing w:after="80" w:before="0" w:line="276"/>
      </w:pPr>
      <w:r>
        <w:rPr>
          <w:rFonts w:ascii="Times New Roman" w:cs="Times New Roman" w:eastAsia="Times New Roman" w:hAnsi="Times New Roman"/>
          <w:sz w:val="24"/>
          <w:szCs w:val="24"/>
        </w:rPr>
        <w:t xml:space="preserve"/>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Los siete capítulos que siguen acompañan ese recorrido: del asombro al aprendizaje, del aprendizaje al protocolo, del protocolo a la crítica, de la crítica a la propuesta. Al final del libro, el lector encontrará no solo la historia de un investigador que aprendió a usar la IA, sino un marco metodológico transferible y una agenda de preguntas urgentes para la academia latinoamericana del siglo XXI.</w:t>
      </w:r>
    </w:p>
    <w:p>
      <w:pPr>
        <w:spacing w:after="240" w:before="0" w:line="276"/>
      </w:pPr>
      <w:r>
        <w:rPr>
          <w:rFonts w:ascii="Times New Roman" w:cs="Times New Roman" w:eastAsia="Times New Roman" w:hAnsi="Times New Roman"/>
          <w:sz w:val="24"/>
          <w:szCs w:val="24"/>
        </w:rPr>
        <w:t xml:space="preserve"/>
      </w:r>
    </w:p>
    <w:p>
      <w:pPr>
        <w:spacing w:after="120" w:before="240" w:line="276"/>
        <w:jc w:val="left"/>
      </w:pPr>
      <w:r>
        <w:rPr>
          <w:rFonts w:ascii="Times New Roman" w:cs="Times New Roman" w:eastAsia="Times New Roman" w:hAnsi="Times New Roman"/>
          <w:b/>
          <w:bCs/>
          <w:color w:val="000000"/>
          <w:sz w:val="24"/>
          <w:szCs w:val="24"/>
        </w:rPr>
        <w:t xml:space="preserve">Referencias del capítulo</w:t>
      </w:r>
    </w:p>
    <w:p>
      <w:pPr>
        <w:spacing w:after="60" w:before="0" w:line="276"/>
      </w:pPr>
      <w:r>
        <w:rPr>
          <w:rFonts w:ascii="Times New Roman" w:cs="Times New Roman" w:eastAsia="Times New Roman" w:hAnsi="Times New Roman"/>
          <w:sz w:val="24"/>
          <w:szCs w:val="24"/>
        </w:rPr>
        <w:t xml:space="preserve"/>
      </w:r>
    </w:p>
    <w:p>
      <w:pPr>
        <w:spacing w:after="100" w:before="0" w:line="276"/>
        <w:ind w:left="720" w:hanging="720"/>
        <w:jc w:val="both"/>
      </w:pPr>
      <w:r>
        <w:rPr>
          <w:rFonts w:ascii="Times New Roman" w:cs="Times New Roman" w:eastAsia="Times New Roman" w:hAnsi="Times New Roman"/>
          <w:sz w:val="22"/>
          <w:szCs w:val="22"/>
        </w:rPr>
        <w:t xml:space="preserve">ComexPerú (2026). Conectividad y brecha digital en regiones del Perú: Informe 2025-2026. Sociedad de Comercio Exterior del Perú.</w:t>
      </w:r>
    </w:p>
    <w:p>
      <w:pPr>
        <w:spacing w:after="100" w:before="0" w:line="276"/>
        <w:ind w:left="720" w:hanging="720"/>
        <w:jc w:val="both"/>
      </w:pPr>
      <w:r>
        <w:rPr>
          <w:rFonts w:ascii="Times New Roman" w:cs="Times New Roman" w:eastAsia="Times New Roman" w:hAnsi="Times New Roman"/>
          <w:sz w:val="22"/>
          <w:szCs w:val="22"/>
        </w:rPr>
        <w:t xml:space="preserve">Lave, J. y Wenger, E. (1991). Situated learning: Legitimate peripheral participation. Cambridge University Press.</w:t>
      </w:r>
    </w:p>
    <w:p>
      <w:pPr>
        <w:spacing w:after="100" w:before="0" w:line="276"/>
        <w:ind w:left="720" w:hanging="720"/>
        <w:jc w:val="both"/>
      </w:pPr>
      <w:r>
        <w:rPr>
          <w:rFonts w:ascii="Times New Roman" w:cs="Times New Roman" w:eastAsia="Times New Roman" w:hAnsi="Times New Roman"/>
          <w:sz w:val="22"/>
          <w:szCs w:val="22"/>
        </w:rPr>
        <w:t xml:space="preserve">Luckin, R. (2018). Machine learning and human intelligence: The future of education for the 21st century. UCL Institute of Education Press.</w:t>
      </w:r>
    </w:p>
    <w:p>
      <w:pPr>
        <w:spacing w:after="100" w:before="0" w:line="276"/>
        <w:ind w:left="720" w:hanging="720"/>
        <w:jc w:val="both"/>
      </w:pPr>
      <w:r>
        <w:rPr>
          <w:rFonts w:ascii="Times New Roman" w:cs="Times New Roman" w:eastAsia="Times New Roman" w:hAnsi="Times New Roman"/>
          <w:sz w:val="22"/>
          <w:szCs w:val="22"/>
        </w:rPr>
        <w:t xml:space="preserve">Rojas, C. y Chiappe, A. (2024). Ecosistemas digitales e inteligencia artificial en la educación superior latinoamericana: Reconfiguración de estrategias didácticas. Edutec. Revista Electrónica de Tecnología Educativa, 87, 1-19.</w:t>
      </w:r>
    </w:p>
    <w:p>
      <w:pPr>
        <w:spacing w:after="100" w:before="0" w:line="276"/>
        <w:ind w:left="720" w:hanging="720"/>
        <w:jc w:val="both"/>
      </w:pPr>
      <w:r>
        <w:rPr>
          <w:rFonts w:ascii="Times New Roman" w:cs="Times New Roman" w:eastAsia="Times New Roman" w:hAnsi="Times New Roman"/>
          <w:sz w:val="22"/>
          <w:szCs w:val="22"/>
        </w:rPr>
        <w:t xml:space="preserve">Zawacki-Richter, O., Marín, V. I., Bond, M. y Gouverneur, F. (2019). Systematic review of research on artificial intelligence applications in higher education. International Journal of Educational Technology in Higher Education, 16, 39. https://doi.org/10.1186/s41239-019-0171-0</w:t>
      </w:r>
    </w:p>
    <w:p>
      <w:pPr>
        <w:spacing w:after="320" w:before="0" w:line="276"/>
      </w:pPr>
      <w:r>
        <w:rPr>
          <w:rFonts w:ascii="Times New Roman" w:cs="Times New Roman" w:eastAsia="Times New Roman" w:hAnsi="Times New Roman"/>
          <w:sz w:val="24"/>
          <w:szCs w:val="24"/>
        </w:rPr>
        <w:t xml:space="preserve"/>
      </w:r>
    </w:p>
    <w:p>
      <w:pPr>
        <w:pBdr>
          <w:top w:val="single" w:color="1A2F4A" w:sz="4"/>
          <w:bottom w:val="single" w:color="1A2F4A" w:sz="4"/>
          <w:left w:val="single" w:color="1A2F4A" w:sz="6"/>
          <w:right w:val="single" w:color="1A2F4A" w:sz="6"/>
        </w:pBdr>
        <w:spacing w:after="200" w:before="120" w:line="276"/>
        <w:ind w:left="720" w:right="720"/>
        <w:jc w:val="both"/>
      </w:pPr>
      <w:r>
        <w:rPr>
          <w:rFonts w:ascii="Times New Roman" w:cs="Times New Roman" w:eastAsia="Times New Roman" w:hAnsi="Times New Roman"/>
          <w:i/>
          <w:iCs/>
          <w:color w:val="1A2F4A"/>
          <w:sz w:val="22"/>
          <w:szCs w:val="22"/>
        </w:rPr>
        <w:t xml:space="preserve">Fin del Capítulo 1.
El Capítulo 2 desarrollará: Testimonio honesto — aprender haciendo.
Espero sus observaciones para continuar.</w:t>
      </w:r>
    </w:p>
    <w:sectPr>
      <w:pgSz w:w="11906" w:h="16838" w:orient="portrait"/>
      <w:pgMar w:top="1440" w:right="1440" w:bottom="1440" w:left="1701" w:header="708" w:footer="708" w:gutter="0"/>
      <w:pgNumType/>
      <w:docGrid w:linePitch="360"/>
    </w:sectPr>
    <w:p>
      <w:r>
        <w:br w:type="page"/>
      </w:r>
    </w:p>
    <w:p>
      <w:pPr>
        <w:spacing w:after="200" w:before="400" w:line="276"/>
        <w:jc w:val="left"/>
      </w:pPr>
      <w:r>
        <w:rPr>
          <w:rFonts w:ascii="Times New Roman" w:cs="Times New Roman" w:eastAsia="Times New Roman" w:hAnsi="Times New Roman"/>
          <w:b/>
          <w:bCs/>
          <w:color w:val="000000"/>
          <w:sz w:val="28"/>
          <w:szCs w:val="28"/>
        </w:rPr>
        <w:t xml:space="preserve">Capítulo 2</w:t>
      </w:r>
    </w:p>
    <w:p>
      <w:pPr>
        <w:spacing w:after="240" w:before="0" w:line="276"/>
        <w:jc w:val="left"/>
      </w:pPr>
      <w:r>
        <w:rPr>
          <w:rFonts w:ascii="Times New Roman" w:cs="Times New Roman" w:eastAsia="Times New Roman" w:hAnsi="Times New Roman"/>
          <w:b/>
          <w:bCs/>
          <w:color w:val="1A2F4A"/>
          <w:sz w:val="32"/>
          <w:szCs w:val="32"/>
        </w:rPr>
        <w:t xml:space="preserve">Testimonio honesto: aprender haciendo</w:t>
      </w:r>
    </w:p>
    <w:p>
      <w:pPr>
        <w:pBdr>
          <w:top w:val="single" w:color="1A2F4A" w:sz="4"/>
          <w:bottom w:val="single" w:color="1A2F4A" w:sz="4"/>
          <w:left w:val="single" w:color="1A2F4A" w:sz="6"/>
          <w:right w:val="single" w:color="1A2F4A" w:sz="6"/>
        </w:pBdr>
        <w:spacing w:after="200" w:before="120" w:line="276"/>
        <w:ind w:left="720" w:right="720"/>
        <w:jc w:val="both"/>
      </w:pPr>
      <w:r>
        <w:rPr>
          <w:rFonts w:ascii="Times New Roman" w:cs="Times New Roman" w:eastAsia="Times New Roman" w:hAnsi="Times New Roman"/>
          <w:i/>
          <w:iCs/>
          <w:color w:val="1A2F4A"/>
          <w:sz w:val="22"/>
          <w:szCs w:val="22"/>
        </w:rPr>
        <w:t xml:space="preserve">«Empecé viendo videos. Después empecé a conversar con Claude. Eso es todo lo que tenía cuando comenzó este proceso.»
Manuel J. Sotomayor-Fernández</w:t>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Hay cosas que no se aprenden en los libros. Hay cosas que solo se aprenden haciéndolas, equivocándose, volviendo a intentarlo. Este capítulo es el relato de eso: de lo que pasó cuando decidí dejar de observar la inteligencia artificial desde afuera y empecé a construir con ella desde adentro.</w:t>
      </w:r>
    </w:p>
    <w:p>
      <w:pPr>
        <w:spacing w:after="80" w:before="0" w:line="276"/>
      </w:pPr>
      <w:r>
        <w:rPr>
          <w:rFonts w:ascii="Times New Roman" w:cs="Times New Roman" w:eastAsia="Times New Roman" w:hAnsi="Times New Roman"/>
          <w:sz w:val="24"/>
          <w:szCs w:val="24"/>
        </w:rPr>
        <w:t xml:space="preserve"/>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No voy a contar solo los éxitos. Si solo contara los éxitos, este capítulo mentiría. Voy a contar también los errores -- el git que no funcionaba, el artículo que salió sin metodología, las tildes que desaparecieron. Porque esos errores no son el reverso del aprendizaje. Son el aprendizaje mismo.</w:t>
      </w:r>
    </w:p>
    <w:p>
      <w:pPr>
        <w:spacing w:after="160" w:before="0" w:line="276"/>
      </w:pPr>
      <w:r>
        <w:rPr>
          <w:rFonts w:ascii="Times New Roman" w:cs="Times New Roman" w:eastAsia="Times New Roman" w:hAnsi="Times New Roman"/>
          <w:sz w:val="24"/>
          <w:szCs w:val="24"/>
        </w:rPr>
        <w:t xml:space="preserve"/>
      </w:r>
    </w:p>
    <w:p>
      <w:pPr>
        <w:spacing w:after="160" w:before="320" w:line="276"/>
        <w:jc w:val="left"/>
      </w:pPr>
      <w:r>
        <w:rPr>
          <w:rFonts w:ascii="Times New Roman" w:cs="Times New Roman" w:eastAsia="Times New Roman" w:hAnsi="Times New Roman"/>
          <w:b/>
          <w:bCs/>
          <w:color w:val="000000"/>
          <w:sz w:val="26"/>
          <w:szCs w:val="26"/>
        </w:rPr>
        <w:t xml:space="preserve">2.1. La experiencia inicial con SciAgent</w:t>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Todo comenzó con una pregunta sencilla: {&lt;}cómo puedo usar la IA para producir artículos científicos? No como experimento, sino como práctica real. Como investigador con publicaciones en marcha, con temas que conozco profundamente y con la pretensión de que el resultado fuera publicable en una revista indexada.</w:t>
      </w:r>
    </w:p>
    <w:p>
      <w:pPr>
        <w:spacing w:after="80" w:before="0" w:line="276"/>
      </w:pPr>
      <w:r>
        <w:rPr>
          <w:rFonts w:ascii="Times New Roman" w:cs="Times New Roman" w:eastAsia="Times New Roman" w:hAnsi="Times New Roman"/>
          <w:sz w:val="24"/>
          <w:szCs w:val="24"/>
        </w:rPr>
        <w:t xml:space="preserve"/>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La respuesta no fue descargar una herramienta ni suscribirse a un servicio. Fue diseñar un sistema. SciAgent nació así: no como un producto encontrado, sino como una construcción propia. Un sistema de agentes especializados, cada uno con una función específica dentro del proceso de producción académica.</w:t>
      </w:r>
    </w:p>
    <w:p>
      <w:pPr>
        <w:spacing w:after="80" w:before="0" w:line="276"/>
      </w:pPr>
      <w:r>
        <w:rPr>
          <w:rFonts w:ascii="Times New Roman" w:cs="Times New Roman" w:eastAsia="Times New Roman" w:hAnsi="Times New Roman"/>
          <w:sz w:val="24"/>
          <w:szCs w:val="24"/>
        </w:rPr>
        <w:t xml:space="preserve"/>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En su versión final, SciAgent tiene doce agentes. El Agente 0 -- que no existía al principio y nació precisamente de los errores que este capítulo describe -- es el Verificador Previo: el que revisa, antes de que todo lo demás comience, que el investigador ha preparado lo que el sistema no puede inventar. Los agentes 1 al 8 son el pipeline de producción: Investigador, Metódólogo, Analista, Redactor, Revisor, Editor, Humanizador y Director Visual. Los agentes 9, 10 y 11 conforman el SMID-MA 3.0 -- Sistema Maestro de Investigación Doctoral Multiagente -- que evalúa la calidad del artículo, detecta los vacíos científicos y emite el dictamen editorial con la revista objetivo, el cuartil Scopus y la estrategia de envío.</w:t>
      </w:r>
    </w:p>
    <w:p>
      <w:pPr>
        <w:spacing w:after="80" w:before="0" w:line="276"/>
      </w:pPr>
      <w:r>
        <w:rPr>
          <w:rFonts w:ascii="Times New Roman" w:cs="Times New Roman" w:eastAsia="Times New Roman" w:hAnsi="Times New Roman"/>
          <w:sz w:val="24"/>
          <w:szCs w:val="24"/>
        </w:rPr>
        <w:t xml:space="preserve"/>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En una sola sesión de trabajo, ese sistema produjo tres artículos científicos completos, cinco figuras académicas vectoriales, dos conjuntos de anexos y el código fuente publicado en GitHub (https://github.com/msotomayorf-code/sciagent). Los archivos existen. Las fechas de creación son públicas. Eso no es una afirmación: es verificable.</w:t>
      </w:r>
    </w:p>
    <w:p>
      <w:pPr>
        <w:spacing w:after="160" w:before="0" w:line="276"/>
      </w:pPr>
      <w:r>
        <w:rPr>
          <w:rFonts w:ascii="Times New Roman" w:cs="Times New Roman" w:eastAsia="Times New Roman" w:hAnsi="Times New Roman"/>
          <w:sz w:val="24"/>
          <w:szCs w:val="24"/>
        </w:rPr>
        <w:t xml:space="preserve"/>
      </w:r>
    </w:p>
    <w:p>
      <w:pPr>
        <w:spacing w:after="160" w:before="320" w:line="276"/>
        <w:jc w:val="left"/>
      </w:pPr>
      <w:r>
        <w:rPr>
          <w:rFonts w:ascii="Times New Roman" w:cs="Times New Roman" w:eastAsia="Times New Roman" w:hAnsi="Times New Roman"/>
          <w:b/>
          <w:bCs/>
          <w:color w:val="000000"/>
          <w:sz w:val="26"/>
          <w:szCs w:val="26"/>
        </w:rPr>
        <w:t xml:space="preserve">2.2. Los errores: lo que salió mal y lo que enseñó</w:t>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Podría omitir esta sección. Podría ir directamente a los resultados y dejar que el lector imagine que el proceso fue limpio y eficiente. No lo voy a hacer. Los errores son la parte más honest del libro y, probablemente, la más útil para quien quiera replicar este proceso.</w:t>
      </w:r>
    </w:p>
    <w:p>
      <w:pPr>
        <w:spacing w:after="80" w:before="0" w:line="276"/>
      </w:pPr>
      <w:r>
        <w:rPr>
          <w:rFonts w:ascii="Times New Roman" w:cs="Times New Roman" w:eastAsia="Times New Roman" w:hAnsi="Times New Roman"/>
          <w:sz w:val="24"/>
          <w:szCs w:val="24"/>
        </w:rPr>
        <w:t xml:space="preserve"/>
      </w:r>
    </w:p>
    <w:p>
      <w:pPr>
        <w:spacing w:after="120" w:before="240" w:line="276"/>
        <w:jc w:val="left"/>
      </w:pPr>
      <w:r>
        <w:rPr>
          <w:rFonts w:ascii="Times New Roman" w:cs="Times New Roman" w:eastAsia="Times New Roman" w:hAnsi="Times New Roman"/>
          <w:b/>
          <w:bCs/>
          <w:color w:val="000000"/>
          <w:sz w:val="24"/>
          <w:szCs w:val="24"/>
        </w:rPr>
        <w:t xml:space="preserve">El git que no funcionaba</w:t>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El primer error llegó cuando intenté subir el código a GitHub. El cmd de Windows respondió con un mensaje que no deja margen a la interpretación: «git no se reconoce como un comando interno o externo».</w:t>
      </w:r>
    </w:p>
    <w:p>
      <w:pPr>
        <w:spacing w:after="80" w:before="0" w:line="276"/>
      </w:pPr>
      <w:r>
        <w:rPr>
          <w:rFonts w:ascii="Times New Roman" w:cs="Times New Roman" w:eastAsia="Times New Roman" w:hAnsi="Times New Roman"/>
          <w:sz w:val="24"/>
          <w:szCs w:val="24"/>
        </w:rPr>
        <w:t xml:space="preserve"/>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Git no estaba instalado. No tenía ninguna razón para estarlo -- nunca lo había necesitado. Había que instalarlo, configurarlo, crear el token de acceso en GitHub, vincular las credenciales, fallar en el primer push, intentarlo de nuevo. Lo que en otro contexto hubiera sido un trámite de diez minutos se convirtió en una hora de frustración porque no estaba preparado para ese paso.</w:t>
      </w:r>
    </w:p>
    <w:p>
      <w:pPr>
        <w:spacing w:after="80" w:before="0" w:line="276"/>
      </w:pPr>
      <w:r>
        <w:rPr>
          <w:rFonts w:ascii="Times New Roman" w:cs="Times New Roman" w:eastAsia="Times New Roman" w:hAnsi="Times New Roman"/>
          <w:sz w:val="24"/>
          <w:szCs w:val="24"/>
        </w:rPr>
        <w:t xml:space="preserve"/>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La lección no es técnica. Es de preparación: saber qué necesitas antes de necesitarlo. Un investigador que llega a este proceso sin esa preparación mínima no pierde solo tiempo. Pierde el ritmo. Y perder el ritmo, cuando estás aprendiendo algo nuevo, es más costoso que perder el tiempo.</w:t>
      </w:r>
    </w:p>
    <w:p>
      <w:pPr>
        <w:spacing w:after="80" w:before="0" w:line="276"/>
      </w:pPr>
      <w:r>
        <w:rPr>
          <w:rFonts w:ascii="Times New Roman" w:cs="Times New Roman" w:eastAsia="Times New Roman" w:hAnsi="Times New Roman"/>
          <w:sz w:val="24"/>
          <w:szCs w:val="24"/>
        </w:rPr>
        <w:t xml:space="preserve"/>
      </w:r>
    </w:p>
    <w:p>
      <w:pPr>
        <w:spacing w:after="120" w:before="240" w:line="276"/>
        <w:jc w:val="left"/>
      </w:pPr>
      <w:r>
        <w:rPr>
          <w:rFonts w:ascii="Times New Roman" w:cs="Times New Roman" w:eastAsia="Times New Roman" w:hAnsi="Times New Roman"/>
          <w:b/>
          <w:bCs/>
          <w:color w:val="000000"/>
          <w:sz w:val="24"/>
          <w:szCs w:val="24"/>
        </w:rPr>
        <w:t xml:space="preserve">El artículo sin metodología</w:t>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El segundo error fue más revelador, porque no fue técnico. Fue conceptual.</w:t>
      </w:r>
    </w:p>
    <w:p>
      <w:pPr>
        <w:spacing w:after="80" w:before="0" w:line="276"/>
      </w:pPr>
      <w:r>
        <w:rPr>
          <w:rFonts w:ascii="Times New Roman" w:cs="Times New Roman" w:eastAsia="Times New Roman" w:hAnsi="Times New Roman"/>
          <w:sz w:val="24"/>
          <w:szCs w:val="24"/>
        </w:rPr>
        <w:t xml:space="preserve"/>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Generamos tres artículos científicos antes de que alguien -- el investigador, no la IA -- notara que ninguno tenía sección de metodología. La IA no lo sabe si no se lo pides. La responsabilidad de recordar que todo artículo científico necesita metodología es del investigador, no del sistema. Y yo no lo pedí, porque no lo pensé antes de empezar.</w:t>
      </w:r>
    </w:p>
    <w:p>
      <w:pPr>
        <w:spacing w:after="80" w:before="0" w:line="276"/>
      </w:pPr>
      <w:r>
        <w:rPr>
          <w:rFonts w:ascii="Times New Roman" w:cs="Times New Roman" w:eastAsia="Times New Roman" w:hAnsi="Times New Roman"/>
          <w:sz w:val="24"/>
          <w:szCs w:val="24"/>
        </w:rPr>
        <w:t xml:space="preserve"/>
      </w:r>
    </w:p>
    <w:p>
      <w:pPr>
        <w:pBdr>
          <w:top w:val="single" w:color="1A2F4A" w:sz="4"/>
          <w:bottom w:val="single" w:color="1A2F4A" w:sz="4"/>
          <w:left w:val="single" w:color="1A2F4A" w:sz="6"/>
          <w:right w:val="single" w:color="1A2F4A" w:sz="6"/>
        </w:pBdr>
        <w:spacing w:after="200" w:before="120" w:line="276"/>
        <w:ind w:left="720" w:right="720"/>
        <w:jc w:val="both"/>
      </w:pPr>
      <w:r>
        <w:rPr>
          <w:rFonts w:ascii="Times New Roman" w:cs="Times New Roman" w:eastAsia="Times New Roman" w:hAnsi="Times New Roman"/>
          <w:i/>
          <w:iCs/>
          <w:color w:val="1A2F4A"/>
          <w:sz w:val="22"/>
          <w:szCs w:val="22"/>
        </w:rPr>
        <w:t xml:space="preserve">«Solo lo comento, para la próxima hay que tener más cuidado.»
El autor, al detectar la ausencia de metodología en los tres primeros artículos</w:t>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Seis palabras en medio de la sesión. No una crisi ni un reproche -- solo una nota para la próxima vez. Pero esas seis palabras resumen mejor que cualquier otra cosa la relación correcta entre el investigador y la IA: el sistema ejecuta con velocidad y precisión. El investigador recuerda, revisa, corrige y exige. Ninguno funciona bien sin el otro.</w:t>
      </w:r>
    </w:p>
    <w:p>
      <w:pPr>
        <w:spacing w:after="80" w:before="0" w:line="276"/>
      </w:pPr>
      <w:r>
        <w:rPr>
          <w:rFonts w:ascii="Times New Roman" w:cs="Times New Roman" w:eastAsia="Times New Roman" w:hAnsi="Times New Roman"/>
          <w:sz w:val="24"/>
          <w:szCs w:val="24"/>
        </w:rPr>
        <w:t xml:space="preserve"/>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Ese error produjo directamente el Agente 0. Si hubiera existido desde el inicio, habría preguntado: {&lt;}qué secciones obligatorias tiene la revista objetivo? Y yo habría respondido: metodología. Y los tres artículos habrían salido completos desde la primera versión. La mejor respuesta a un error no es la disculpa -- es el protocolo que lo hace imposible la próxima vez.</w:t>
      </w:r>
    </w:p>
    <w:p>
      <w:pPr>
        <w:spacing w:after="80" w:before="0" w:line="276"/>
      </w:pPr>
      <w:r>
        <w:rPr>
          <w:rFonts w:ascii="Times New Roman" w:cs="Times New Roman" w:eastAsia="Times New Roman" w:hAnsi="Times New Roman"/>
          <w:sz w:val="24"/>
          <w:szCs w:val="24"/>
        </w:rPr>
        <w:t xml:space="preserve"/>
      </w:r>
    </w:p>
    <w:p>
      <w:pPr>
        <w:spacing w:after="120" w:before="240" w:line="276"/>
        <w:jc w:val="left"/>
      </w:pPr>
      <w:r>
        <w:rPr>
          <w:rFonts w:ascii="Times New Roman" w:cs="Times New Roman" w:eastAsia="Times New Roman" w:hAnsi="Times New Roman"/>
          <w:b/>
          <w:bCs/>
          <w:color w:val="000000"/>
          <w:sz w:val="24"/>
          <w:szCs w:val="24"/>
        </w:rPr>
        <w:t xml:space="preserve">Las tildes que no aparecieron</w:t>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El tercer error fue más pequeño pero igual de instructivo. El generador de documentos Word no maneja correctamente los caracteres especiales del español cuando el código se escribe de manera directa. Las tildes desaparecían. La eñe se convertía en otra cosa. El artículo generado tenía errores ortográficos sistemáticos que ninguna revista indexada ignoraría.</w:t>
      </w:r>
    </w:p>
    <w:p>
      <w:pPr>
        <w:spacing w:after="80" w:before="0" w:line="276"/>
      </w:pPr>
      <w:r>
        <w:rPr>
          <w:rFonts w:ascii="Times New Roman" w:cs="Times New Roman" w:eastAsia="Times New Roman" w:hAnsi="Times New Roman"/>
          <w:sz w:val="24"/>
          <w:szCs w:val="24"/>
        </w:rPr>
        <w:t xml:space="preserve"/>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La solución existía -- usar códigos Unicode para cada carácter especial -- pero requería haberlo sabido antes de empezar, no descubrirlo en el tercer intento. Eso también es preparación. No preparación técnica en el sentido de saber programar, sino preparación práctica en el sentido de conocer las limitaciones del sistema antes de usarlo para producir documentos que otros van a leer, evaluar y juzgar.</w:t>
      </w:r>
    </w:p>
    <w:p>
      <w:pPr>
        <w:spacing w:after="160" w:before="0" w:line="276"/>
      </w:pPr>
      <w:r>
        <w:rPr>
          <w:rFonts w:ascii="Times New Roman" w:cs="Times New Roman" w:eastAsia="Times New Roman" w:hAnsi="Times New Roman"/>
          <w:sz w:val="24"/>
          <w:szCs w:val="24"/>
        </w:rPr>
        <w:t xml:space="preserve"/>
      </w:r>
    </w:p>
    <w:p>
      <w:pPr>
        <w:spacing w:after="160" w:before="320" w:line="276"/>
        <w:jc w:val="left"/>
      </w:pPr>
      <w:r>
        <w:rPr>
          <w:rFonts w:ascii="Times New Roman" w:cs="Times New Roman" w:eastAsia="Times New Roman" w:hAnsi="Times New Roman"/>
          <w:b/>
          <w:bCs/>
          <w:color w:val="000000"/>
          <w:sz w:val="26"/>
          <w:szCs w:val="26"/>
        </w:rPr>
        <w:t xml:space="preserve">2.3. La transparencia como valor metodológico</w:t>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Contar estos errores no fue automático. Hubo un momento en el proceso donde me pregunté si no sería más conveniente omitirlos -- presentar el sistema como si hubiera funcionado perfectamente desde el primer intento y dejar que el lector sacara sus propias conclusiones sobre la eficiencia del proceso.</w:t>
      </w:r>
    </w:p>
    <w:p>
      <w:pPr>
        <w:spacing w:after="80" w:before="0" w:line="276"/>
      </w:pPr>
      <w:r>
        <w:rPr>
          <w:rFonts w:ascii="Times New Roman" w:cs="Times New Roman" w:eastAsia="Times New Roman" w:hAnsi="Times New Roman"/>
          <w:sz w:val="24"/>
          <w:szCs w:val="24"/>
        </w:rPr>
        <w:t xml:space="preserve"/>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Decidí no hacerlo por una razón simple: la transparencia no es un valor opcional en la investigación académica. Es una condición de su legitimidad. Un protocolo que oculta sus errores es un protocolo que no puede ser auditado. Un investigador que oculta sus errores es un investigador que no puede ser criticado constructivamente. Y un libro que no cuenta lo que salió mal es un libro que no sirve para que otros aprendan a hacerlo mejor.</w:t>
      </w:r>
    </w:p>
    <w:p>
      <w:pPr>
        <w:spacing w:after="80" w:before="0" w:line="276"/>
      </w:pPr>
      <w:r>
        <w:rPr>
          <w:rFonts w:ascii="Times New Roman" w:cs="Times New Roman" w:eastAsia="Times New Roman" w:hAnsi="Times New Roman"/>
          <w:sz w:val="24"/>
          <w:szCs w:val="24"/>
        </w:rPr>
        <w:t xml:space="preserve"/>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Por eso todos los artículos que produjo esta sesión incluyen una declaración explícita del uso de IA. No como formalidad -- como principio. Si un sistema produce artículos científicos, ese sistema debe poder ser auditado, criticado y mejorado por otros. El código en GitHub es parte de esa transparencia. Este capítulo también lo es.</w:t>
      </w:r>
    </w:p>
    <w:p>
      <w:pPr>
        <w:spacing w:after="160" w:before="0" w:line="276"/>
      </w:pPr>
      <w:r>
        <w:rPr>
          <w:rFonts w:ascii="Times New Roman" w:cs="Times New Roman" w:eastAsia="Times New Roman" w:hAnsi="Times New Roman"/>
          <w:sz w:val="24"/>
          <w:szCs w:val="24"/>
        </w:rPr>
        <w:t xml:space="preserve"/>
      </w:r>
    </w:p>
    <w:p>
      <w:pPr>
        <w:spacing w:after="160" w:before="320" w:line="276"/>
        <w:jc w:val="left"/>
      </w:pPr>
      <w:r>
        <w:rPr>
          <w:rFonts w:ascii="Times New Roman" w:cs="Times New Roman" w:eastAsia="Times New Roman" w:hAnsi="Times New Roman"/>
          <w:b/>
          <w:bCs/>
          <w:color w:val="000000"/>
          <w:sz w:val="26"/>
          <w:szCs w:val="26"/>
        </w:rPr>
        <w:t xml:space="preserve">2.4. Authoría de proceso: dirigir, corregir y asumir responsabilidad</w:t>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La pregunta que este capítulo no puede evitar es la más incómoda de todas: {&lt;}quién escribió estos artículos?</w:t>
      </w:r>
    </w:p>
    <w:p>
      <w:pPr>
        <w:spacing w:after="80" w:before="0" w:line="276"/>
      </w:pPr>
      <w:r>
        <w:rPr>
          <w:rFonts w:ascii="Times New Roman" w:cs="Times New Roman" w:eastAsia="Times New Roman" w:hAnsi="Times New Roman"/>
          <w:sz w:val="24"/>
          <w:szCs w:val="24"/>
        </w:rPr>
        <w:t xml:space="preserve"/>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La respuesta honesta es que no los escribió la IA sola. Sin mi conocimiento sobre los 33 distritos rurales de Piura, sobre las normas del Sinaplan, sobre la diferencia entre el Virreinato del Perú y la colonia en sentido jurídico-político, los textos habrían sido genéricos e inutilizables. Ese conocimiento disciplinario no estaba en el sistema: estaba en mí. Y cuando el sistema se equivocaba -- cuando me presentaba una cita que no existía, o una fecha incorrecta, o un argumento basado en una premisa falsa -- era yo quien lo detectaba. Porque conocía el tema lo suficientemente bien como para notar que algo no cuadraba.</w:t>
      </w:r>
    </w:p>
    <w:p>
      <w:pPr>
        <w:spacing w:after="80" w:before="0" w:line="276"/>
      </w:pPr>
      <w:r>
        <w:rPr>
          <w:rFonts w:ascii="Times New Roman" w:cs="Times New Roman" w:eastAsia="Times New Roman" w:hAnsi="Times New Roman"/>
          <w:sz w:val="24"/>
          <w:szCs w:val="24"/>
        </w:rPr>
        <w:t xml:space="preserve"/>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Pero tampoco los escribí yo en el sentido clásico. No tecleé cada párrafo. No construí cada argumento desde la página en blanco. No tomé las decisiones de redacción que un escritor académico convencional toma en cada oración.</w:t>
      </w:r>
    </w:p>
    <w:p>
      <w:pPr>
        <w:spacing w:after="80" w:before="0" w:line="276"/>
      </w:pPr>
      <w:r>
        <w:rPr>
          <w:rFonts w:ascii="Times New Roman" w:cs="Times New Roman" w:eastAsia="Times New Roman" w:hAnsi="Times New Roman"/>
          <w:sz w:val="24"/>
          <w:szCs w:val="24"/>
        </w:rPr>
        <w:t xml:space="preserve"/>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Lo que hice fue diseñar el proceso que los produce. Dirigió cada decisión crítica. Aporté el conocimiento disciplinario que le dio sustancia a los textos. Detecté los errores, exigí las correcciones y asumió la responsabilidad intelectual del resultado. Eso es autoría -- de un tipo nuevo, que la academia está empezando a debatir y que todavía no tiene un nombre consolidado ni estándares claros. Selwyn (2019) advirtió que la IA en educación no elimina la agencia humana sino que la redistribuye: el investigador que usa un sistema como SciAgent ejerce su agencia en el diseño y la supervisión del proceso, no en la ejecución momento a momento.</w:t>
      </w:r>
    </w:p>
    <w:p>
      <w:pPr>
        <w:spacing w:after="80" w:before="0" w:line="276"/>
      </w:pPr>
      <w:r>
        <w:rPr>
          <w:rFonts w:ascii="Times New Roman" w:cs="Times New Roman" w:eastAsia="Times New Roman" w:hAnsi="Times New Roman"/>
          <w:sz w:val="24"/>
          <w:szCs w:val="24"/>
        </w:rPr>
        <w:t xml:space="preserve"/>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La analogía que encuentro más precisa es la del arquitecto y el software de diseño. AutoCAD no diseña edificios. Los arquitectos lo hacen. Pero un arquitecto con AutoCAD puede producir en un día lo que sin él le llevaría semanas. La diferencia es que el arquitecto llega al software sabiendo lo que quiere construir. Esa preparación previa -- conceptual, no técnica -- es lo que este proceso me enseñó que faltaba y que debería estar primero la próxima vez.</w:t>
      </w:r>
    </w:p>
    <w:p>
      <w:pPr>
        <w:spacing w:after="160" w:before="0" w:line="276"/>
      </w:pPr>
      <w:r>
        <w:rPr>
          <w:rFonts w:ascii="Times New Roman" w:cs="Times New Roman" w:eastAsia="Times New Roman" w:hAnsi="Times New Roman"/>
          <w:sz w:val="24"/>
          <w:szCs w:val="24"/>
        </w:rPr>
        <w:t xml:space="preserve"/>
      </w:r>
    </w:p>
    <w:p>
      <w:pPr>
        <w:spacing w:after="160" w:before="320" w:line="276"/>
        <w:jc w:val="left"/>
      </w:pPr>
      <w:r>
        <w:rPr>
          <w:rFonts w:ascii="Times New Roman" w:cs="Times New Roman" w:eastAsia="Times New Roman" w:hAnsi="Times New Roman"/>
          <w:b/>
          <w:bCs/>
          <w:color w:val="000000"/>
          <w:sz w:val="26"/>
          <w:szCs w:val="26"/>
        </w:rPr>
        <w:t xml:space="preserve">2.5. Lo que cambia si lo repito mañana</w:t>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Si repitiera este proceso mañana, me prepararía más para no cometer errores.</w:t>
      </w:r>
    </w:p>
    <w:p>
      <w:pPr>
        <w:spacing w:after="80" w:before="0" w:line="276"/>
      </w:pPr>
      <w:r>
        <w:rPr>
          <w:rFonts w:ascii="Times New Roman" w:cs="Times New Roman" w:eastAsia="Times New Roman" w:hAnsi="Times New Roman"/>
          <w:sz w:val="24"/>
          <w:szCs w:val="24"/>
        </w:rPr>
        <w:t xml:space="preserve"/>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Eso suena simple. No lo es. Prepararse para este proceso no significa aprender a programar. Significa llegar con claridad conceptual sobre qué se va a producir.</w:t>
      </w:r>
    </w:p>
    <w:p>
      <w:pPr>
        <w:spacing w:after="80" w:before="0" w:line="276"/>
      </w:pPr>
      <w:r>
        <w:rPr>
          <w:rFonts w:ascii="Times New Roman" w:cs="Times New Roman" w:eastAsia="Times New Roman" w:hAnsi="Times New Roman"/>
          <w:sz w:val="24"/>
          <w:szCs w:val="24"/>
        </w:rPr>
        <w:t xml:space="preserve"/>
      </w:r>
    </w:p>
    <w:p>
      <w:pPr>
        <w:spacing w:after="120" w:before="240" w:line="276"/>
        <w:jc w:val="left"/>
      </w:pPr>
      <w:r>
        <w:rPr>
          <w:rFonts w:ascii="Times New Roman" w:cs="Times New Roman" w:eastAsia="Times New Roman" w:hAnsi="Times New Roman"/>
          <w:b/>
          <w:bCs/>
          <w:color w:val="000000"/>
          <w:sz w:val="24"/>
          <w:szCs w:val="24"/>
        </w:rPr>
        <w:t xml:space="preserve">Preparación técnica mínima</w:t>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Antes de ejecutar el primer comando: verificar que Git está instalado y configurado. Tener Node.js activo. Tener la API key cargada y con crédito suficiente. Conocer el tratamiento de caracteres especiales en el generador de documentos. Estos no son detalles técnicos menores. Son las condiciones de posibilidad de todo lo demás. Sin ellas, el investigador pierde tiempo en problemas que no tienen ninguna relación con la investigación y pierde el ritmo antes de llegar a los resultados que importan.</w:t>
      </w:r>
    </w:p>
    <w:p>
      <w:pPr>
        <w:spacing w:after="80" w:before="0" w:line="276"/>
      </w:pPr>
      <w:r>
        <w:rPr>
          <w:rFonts w:ascii="Times New Roman" w:cs="Times New Roman" w:eastAsia="Times New Roman" w:hAnsi="Times New Roman"/>
          <w:sz w:val="24"/>
          <w:szCs w:val="24"/>
        </w:rPr>
        <w:t xml:space="preserve"/>
      </w:r>
    </w:p>
    <w:p>
      <w:pPr>
        <w:spacing w:after="120" w:before="240" w:line="276"/>
        <w:jc w:val="left"/>
      </w:pPr>
      <w:r>
        <w:rPr>
          <w:rFonts w:ascii="Times New Roman" w:cs="Times New Roman" w:eastAsia="Times New Roman" w:hAnsi="Times New Roman"/>
          <w:b/>
          <w:bCs/>
          <w:color w:val="000000"/>
          <w:sz w:val="24"/>
          <w:szCs w:val="24"/>
        </w:rPr>
        <w:t xml:space="preserve">Preparación conceptual del artículo</w:t>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Antes de pedir al sistema que genere un artículo: tener claro el tipo de estudio, las fuentes, las secciones obligatorias del formato de la revista, y los datos propios que el sistema no puede inventar. La metodología, los datos de campo, las precisiones disciplinarias -- en este caso, la distinción entre virreinato y colonia -- no emergen del sistema. Emergen del investigador que los conoce y los aporta. Prepararse significa tener esos elementos listos antes de iniciar, no descubrirlos a mitad del proceso.</w:t>
      </w:r>
    </w:p>
    <w:p>
      <w:pPr>
        <w:spacing w:after="80" w:before="0" w:line="276"/>
      </w:pPr>
      <w:r>
        <w:rPr>
          <w:rFonts w:ascii="Times New Roman" w:cs="Times New Roman" w:eastAsia="Times New Roman" w:hAnsi="Times New Roman"/>
          <w:sz w:val="24"/>
          <w:szCs w:val="24"/>
        </w:rPr>
        <w:t xml:space="preserve"/>
      </w:r>
    </w:p>
    <w:p>
      <w:pPr>
        <w:spacing w:after="120" w:before="240" w:line="276"/>
        <w:jc w:val="left"/>
      </w:pPr>
      <w:r>
        <w:rPr>
          <w:rFonts w:ascii="Times New Roman" w:cs="Times New Roman" w:eastAsia="Times New Roman" w:hAnsi="Times New Roman"/>
          <w:b/>
          <w:bCs/>
          <w:color w:val="000000"/>
          <w:sz w:val="24"/>
          <w:szCs w:val="24"/>
        </w:rPr>
        <w:t xml:space="preserve">Preparación de la revisión</w:t>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El sistema produce. El investigador revisa. Pero revisar bien requiere saber qué revisar: la coherencia del argumento, la precisión de las citas, la presencia de todas las secciones obligatorias, la calidad de la metodología, la adecuación al formato de la revista. Un investigador que no tiene clara esa lista de verificación antes de iniciar descubre los problemas cuando ya hay tres artículos generados. Que es exactamente lo que ocurrió.</w:t>
      </w:r>
    </w:p>
    <w:p>
      <w:pPr>
        <w:spacing w:after="80" w:before="0" w:line="276"/>
      </w:pPr>
      <w:r>
        <w:rPr>
          <w:rFonts w:ascii="Times New Roman" w:cs="Times New Roman" w:eastAsia="Times New Roman" w:hAnsi="Times New Roman"/>
          <w:sz w:val="24"/>
          <w:szCs w:val="24"/>
        </w:rPr>
        <w:t xml:space="preserve"/>
      </w:r>
    </w:p>
    <w:p>
      <w:pPr>
        <w:pBdr>
          <w:top w:val="single" w:color="1A2F4A" w:sz="4"/>
          <w:bottom w:val="single" w:color="1A2F4A" w:sz="4"/>
          <w:left w:val="single" w:color="1A2F4A" w:sz="6"/>
          <w:right w:val="single" w:color="1A2F4A" w:sz="6"/>
        </w:pBdr>
        <w:spacing w:after="200" w:before="120" w:line="276"/>
        <w:ind w:left="720" w:right="720"/>
        <w:jc w:val="both"/>
      </w:pPr>
      <w:r>
        <w:rPr>
          <w:rFonts w:ascii="Times New Roman" w:cs="Times New Roman" w:eastAsia="Times New Roman" w:hAnsi="Times New Roman"/>
          <w:i/>
          <w:iCs/>
          <w:color w:val="1A2F4A"/>
          <w:sz w:val="22"/>
          <w:szCs w:val="22"/>
        </w:rPr>
        <w:t xml:space="preserve">«La preparación no es técnica. Es conceptual. Es saber qué vas a construir antes de empezar a construirlo.»</w:t>
      </w:r>
    </w:p>
    <w:p>
      <w:pPr>
        <w:spacing w:after="160" w:before="0" w:line="276"/>
      </w:pPr>
      <w:r>
        <w:rPr>
          <w:rFonts w:ascii="Times New Roman" w:cs="Times New Roman" w:eastAsia="Times New Roman" w:hAnsi="Times New Roman"/>
          <w:sz w:val="24"/>
          <w:szCs w:val="24"/>
        </w:rPr>
        <w:t xml:space="preserve"/>
      </w:r>
    </w:p>
    <w:p>
      <w:pPr>
        <w:spacing w:after="160" w:before="320" w:line="276"/>
        <w:jc w:val="left"/>
      </w:pPr>
      <w:r>
        <w:rPr>
          <w:rFonts w:ascii="Times New Roman" w:cs="Times New Roman" w:eastAsia="Times New Roman" w:hAnsi="Times New Roman"/>
          <w:b/>
          <w:bCs/>
          <w:color w:val="000000"/>
          <w:sz w:val="26"/>
          <w:szCs w:val="26"/>
        </w:rPr>
        <w:t xml:space="preserve">2.6. Cinco lecciones para docentes universitarios</w:t>
      </w:r>
    </w:p>
    <w:p>
      <w:pPr>
        <w:spacing w:after="120" w:before="240" w:line="276"/>
        <w:jc w:val="left"/>
      </w:pPr>
      <w:r>
        <w:rPr>
          <w:rFonts w:ascii="Times New Roman" w:cs="Times New Roman" w:eastAsia="Times New Roman" w:hAnsi="Times New Roman"/>
          <w:b/>
          <w:bCs/>
          <w:color w:val="000000"/>
          <w:sz w:val="24"/>
          <w:szCs w:val="24"/>
        </w:rPr>
        <w:t xml:space="preserve">Primera: el conocimiento disciplinario es lo que hace funcionar al sistema</w:t>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El sistema rinde mejor cuanto más sabe el investigador. Los agentes produjeron mejores resultados sobre el Índice de Curvatura Social que sobre temas genéricos precisamente porque yo conocía los datos de los 33 distritos rurales de Piura, las normas del Sinaplan y la bibliografía especializada. La IA amplífica el conocimiento. No lo sustituye. Un investigador que llega al sistema sin conocimiento disciplinario profundo recibe outputs genéricos que no pasan la revisión por pares.</w:t>
      </w:r>
    </w:p>
    <w:p>
      <w:pPr>
        <w:spacing w:after="80" w:before="0" w:line="276"/>
      </w:pPr>
      <w:r>
        <w:rPr>
          <w:rFonts w:ascii="Times New Roman" w:cs="Times New Roman" w:eastAsia="Times New Roman" w:hAnsi="Times New Roman"/>
          <w:sz w:val="24"/>
          <w:szCs w:val="24"/>
        </w:rPr>
        <w:t xml:space="preserve"/>
      </w:r>
    </w:p>
    <w:p>
      <w:pPr>
        <w:spacing w:after="120" w:before="240" w:line="276"/>
        <w:jc w:val="left"/>
      </w:pPr>
      <w:r>
        <w:rPr>
          <w:rFonts w:ascii="Times New Roman" w:cs="Times New Roman" w:eastAsia="Times New Roman" w:hAnsi="Times New Roman"/>
          <w:b/>
          <w:bCs/>
          <w:color w:val="000000"/>
          <w:sz w:val="24"/>
          <w:szCs w:val="24"/>
        </w:rPr>
        <w:t xml:space="preserve">Segunda: el error no detiene el proceso, lo mejora</w:t>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Ninguno de los errores que ocurrieron detuvo el proceso. Cada uno fue diagnosticado, corregido y avanzado en la misma sesión. Eso solo es posible si el investigador mantiene el control del proceso y no delega la dirección a la máquina. El sistema ejecuta. El investigador decide.</w:t>
      </w:r>
    </w:p>
    <w:p>
      <w:pPr>
        <w:spacing w:after="80" w:before="0" w:line="276"/>
      </w:pPr>
      <w:r>
        <w:rPr>
          <w:rFonts w:ascii="Times New Roman" w:cs="Times New Roman" w:eastAsia="Times New Roman" w:hAnsi="Times New Roman"/>
          <w:sz w:val="24"/>
          <w:szCs w:val="24"/>
        </w:rPr>
        <w:t xml:space="preserve"/>
      </w:r>
    </w:p>
    <w:p>
      <w:pPr>
        <w:spacing w:after="120" w:before="240" w:line="276"/>
        <w:jc w:val="left"/>
      </w:pPr>
      <w:r>
        <w:rPr>
          <w:rFonts w:ascii="Times New Roman" w:cs="Times New Roman" w:eastAsia="Times New Roman" w:hAnsi="Times New Roman"/>
          <w:b/>
          <w:bCs/>
          <w:color w:val="000000"/>
          <w:sz w:val="24"/>
          <w:szCs w:val="24"/>
        </w:rPr>
        <w:t xml:space="preserve">Tercera: la authoría de proceso es authoría real</w:t>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Dirigir un sistema que escribe por uno no es lo mismo que no escribir. Es un nuevo modelo de authoría que exige del investigador exactamente las competencias que la academia siempre ha valorado: conocimiento disciplinario profundo, criterio crítico, responsabilidad sobre los resultados. Lo que cambia es el medio, no la exigencia.</w:t>
      </w:r>
    </w:p>
    <w:p>
      <w:pPr>
        <w:spacing w:after="80" w:before="0" w:line="276"/>
      </w:pPr>
      <w:r>
        <w:rPr>
          <w:rFonts w:ascii="Times New Roman" w:cs="Times New Roman" w:eastAsia="Times New Roman" w:hAnsi="Times New Roman"/>
          <w:sz w:val="24"/>
          <w:szCs w:val="24"/>
        </w:rPr>
        <w:t xml:space="preserve"/>
      </w:r>
    </w:p>
    <w:p>
      <w:pPr>
        <w:spacing w:after="120" w:before="240" w:line="276"/>
        <w:jc w:val="left"/>
      </w:pPr>
      <w:r>
        <w:rPr>
          <w:rFonts w:ascii="Times New Roman" w:cs="Times New Roman" w:eastAsia="Times New Roman" w:hAnsi="Times New Roman"/>
          <w:b/>
          <w:bCs/>
          <w:color w:val="000000"/>
          <w:sz w:val="24"/>
          <w:szCs w:val="24"/>
        </w:rPr>
        <w:t xml:space="preserve">Cuarta: la transparencia es parte de la integridad académica</w:t>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Publicar el código en GitHub no fue solo una decisión técnica. Fue una decisión ética. Si un sistema produce artículos científicos, ese sistema debe poder ser auditado, criticado y mejorado por otros. Declarar el uso de IA en los artículos -- como se hizo en todos los que produjo esta sesión -- es la única postura intelectualmente honesta.</w:t>
      </w:r>
    </w:p>
    <w:p>
      <w:pPr>
        <w:spacing w:after="80" w:before="0" w:line="276"/>
      </w:pPr>
      <w:r>
        <w:rPr>
          <w:rFonts w:ascii="Times New Roman" w:cs="Times New Roman" w:eastAsia="Times New Roman" w:hAnsi="Times New Roman"/>
          <w:sz w:val="24"/>
          <w:szCs w:val="24"/>
        </w:rPr>
        <w:t xml:space="preserve"/>
      </w:r>
    </w:p>
    <w:p>
      <w:pPr>
        <w:spacing w:after="120" w:before="240" w:line="276"/>
        <w:jc w:val="left"/>
      </w:pPr>
      <w:r>
        <w:rPr>
          <w:rFonts w:ascii="Times New Roman" w:cs="Times New Roman" w:eastAsia="Times New Roman" w:hAnsi="Times New Roman"/>
          <w:b/>
          <w:bCs/>
          <w:color w:val="000000"/>
          <w:sz w:val="24"/>
          <w:szCs w:val="24"/>
        </w:rPr>
        <w:t xml:space="preserve">Quinta: esto es replicable, con preparación</w:t>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No tengo formación en programación. Aprendí viendo videos y conversando con Claude. Si yo pude construir esto -- con errores y todo -- cualquier docente universitario con curiosidad disciplinada puede hacerlo. La condición no es técnica: es llegar preparado. Saber qué se va a construir antes de empezar a construirlo.</w:t>
      </w:r>
    </w:p>
    <w:p>
      <w:pPr>
        <w:spacing w:after="160" w:before="0" w:line="276"/>
      </w:pPr>
      <w:r>
        <w:rPr>
          <w:rFonts w:ascii="Times New Roman" w:cs="Times New Roman" w:eastAsia="Times New Roman" w:hAnsi="Times New Roman"/>
          <w:sz w:val="24"/>
          <w:szCs w:val="24"/>
        </w:rPr>
        <w:t xml:space="preserve"/>
      </w:r>
    </w:p>
    <w:p>
      <w:pPr>
        <w:spacing w:after="160" w:before="320" w:line="276"/>
        <w:jc w:val="left"/>
      </w:pPr>
      <w:r>
        <w:rPr>
          <w:rFonts w:ascii="Times New Roman" w:cs="Times New Roman" w:eastAsia="Times New Roman" w:hAnsi="Times New Roman"/>
          <w:b/>
          <w:bCs/>
          <w:color w:val="000000"/>
          <w:sz w:val="26"/>
          <w:szCs w:val="26"/>
        </w:rPr>
        <w:t xml:space="preserve">2.7. Reflexión final del capítulo</w:t>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En la sala de profesores de UTP Piura, cuando un colega me pregunta si debería usar inteligencia artificial en su investigación, mi respuesta es siempre la misma: la IA ya está aquí y no se va a ir. Pero la segunda parte de esa respuesta es la que importa más: usar IA bien exige más del investigador, no menos. Más conocimiento disciplinario para detectar los errores del sistema. Más criterio crítico para evaluar sus outputs. Más rigor metodológico para validar lo que produce. Más honestidad para declarar cómo se usó y cuáles son sus límites.</w:t>
      </w:r>
    </w:p>
    <w:p>
      <w:pPr>
        <w:spacing w:after="80" w:before="0" w:line="276"/>
      </w:pPr>
      <w:r>
        <w:rPr>
          <w:rFonts w:ascii="Times New Roman" w:cs="Times New Roman" w:eastAsia="Times New Roman" w:hAnsi="Times New Roman"/>
          <w:sz w:val="24"/>
          <w:szCs w:val="24"/>
        </w:rPr>
        <w:t xml:space="preserve"/>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Di un cambio. Y si lo repitiera mañana, llegaría más preparado. Eso también es parte del aprendizaje. Y esa diferencia -- entre el proceso que hice y el proceso que haría -- es exactamente lo que este capítulo quería documentar.</w:t>
      </w:r>
    </w:p>
    <w:p>
      <w:pPr>
        <w:spacing w:after="240" w:before="0" w:line="276"/>
      </w:pPr>
      <w:r>
        <w:rPr>
          <w:rFonts w:ascii="Times New Roman" w:cs="Times New Roman" w:eastAsia="Times New Roman" w:hAnsi="Times New Roman"/>
          <w:sz w:val="24"/>
          <w:szCs w:val="24"/>
        </w:rPr>
        <w:t xml:space="preserve"/>
      </w:r>
    </w:p>
    <w:p>
      <w:pPr>
        <w:spacing w:after="120" w:before="240" w:line="276"/>
        <w:jc w:val="left"/>
      </w:pPr>
      <w:r>
        <w:rPr>
          <w:rFonts w:ascii="Times New Roman" w:cs="Times New Roman" w:eastAsia="Times New Roman" w:hAnsi="Times New Roman"/>
          <w:b/>
          <w:bCs/>
          <w:color w:val="000000"/>
          <w:sz w:val="24"/>
          <w:szCs w:val="24"/>
        </w:rPr>
        <w:t xml:space="preserve">Referencias del capítulo</w:t>
      </w:r>
    </w:p>
    <w:p>
      <w:pPr>
        <w:spacing w:after="60" w:before="0" w:line="276"/>
      </w:pPr>
      <w:r>
        <w:rPr>
          <w:rFonts w:ascii="Times New Roman" w:cs="Times New Roman" w:eastAsia="Times New Roman" w:hAnsi="Times New Roman"/>
          <w:sz w:val="24"/>
          <w:szCs w:val="24"/>
        </w:rPr>
        <w:t xml:space="preserve"/>
      </w:r>
    </w:p>
    <w:p>
      <w:pPr>
        <w:spacing w:after="100" w:before="0" w:line="276"/>
        <w:ind w:left="720" w:hanging="720"/>
        <w:jc w:val="both"/>
      </w:pPr>
      <w:r>
        <w:rPr>
          <w:rFonts w:ascii="Times New Roman" w:cs="Times New Roman" w:eastAsia="Times New Roman" w:hAnsi="Times New Roman"/>
          <w:sz w:val="22"/>
          <w:szCs w:val="22"/>
        </w:rPr>
        <w:t xml:space="preserve">Anthropic (2026). Claude: AI assistant (claude-sonnet-4-6). Anthropic PBC.</w:t>
      </w:r>
    </w:p>
    <w:p>
      <w:pPr>
        <w:spacing w:after="100" w:before="0" w:line="276"/>
        <w:ind w:left="720" w:hanging="720"/>
        <w:jc w:val="both"/>
      </w:pPr>
      <w:r>
        <w:rPr>
          <w:rFonts w:ascii="Times New Roman" w:cs="Times New Roman" w:eastAsia="Times New Roman" w:hAnsi="Times New Roman"/>
          <w:sz w:val="22"/>
          <w:szCs w:val="22"/>
        </w:rPr>
        <w:t xml:space="preserve">Ellis, C., Adams, T. E. y Bochner, A. P. (2011). Autoethnography: An overview. Forum Qualitative Sozialforschung, 12(1), Art. 10. https://doi.org/10.17169/fqs-12.1.1589</w:t>
      </w:r>
    </w:p>
    <w:p>
      <w:pPr>
        <w:spacing w:after="100" w:before="0" w:line="276"/>
        <w:ind w:left="720" w:hanging="720"/>
        <w:jc w:val="both"/>
      </w:pPr>
      <w:r>
        <w:rPr>
          <w:rFonts w:ascii="Times New Roman" w:cs="Times New Roman" w:eastAsia="Times New Roman" w:hAnsi="Times New Roman"/>
          <w:sz w:val="22"/>
          <w:szCs w:val="22"/>
        </w:rPr>
        <w:t xml:space="preserve">Lave, J. y Wenger, E. (1991). Situated learning: Legitimate peripheral participation. Cambridge University Press.</w:t>
      </w:r>
    </w:p>
    <w:p>
      <w:pPr>
        <w:spacing w:after="100" w:before="0" w:line="276"/>
        <w:ind w:left="720" w:hanging="720"/>
        <w:jc w:val="both"/>
      </w:pPr>
      <w:r>
        <w:rPr>
          <w:rFonts w:ascii="Times New Roman" w:cs="Times New Roman" w:eastAsia="Times New Roman" w:hAnsi="Times New Roman"/>
          <w:sz w:val="22"/>
          <w:szCs w:val="22"/>
        </w:rPr>
        <w:t xml:space="preserve">Selwyn, N. (2019). Should robots replace teachers? AI and the future of education. Polity Press.</w:t>
      </w:r>
    </w:p>
    <w:p>
      <w:pPr>
        <w:spacing w:after="100" w:before="0" w:line="276"/>
        <w:ind w:left="720" w:hanging="720"/>
        <w:jc w:val="both"/>
      </w:pPr>
      <w:r>
        <w:rPr>
          <w:rFonts w:ascii="Times New Roman" w:cs="Times New Roman" w:eastAsia="Times New Roman" w:hAnsi="Times New Roman"/>
          <w:sz w:val="22"/>
          <w:szCs w:val="22"/>
        </w:rPr>
        <w:t xml:space="preserve">Sotomayor-Fernández, M. J. (2026). Modelado de la Exclusión Territorial mediante Sociología Algorítmica: El Índice de Curvatura Social (ICS) en el marco del Sinaplan. Manuscrito enviado a Formación Universitaria.</w:t>
      </w:r>
    </w:p>
    <w:p>
      <w:pPr>
        <w:spacing w:after="320" w:before="0" w:line="276"/>
      </w:pPr>
      <w:r>
        <w:rPr>
          <w:rFonts w:ascii="Times New Roman" w:cs="Times New Roman" w:eastAsia="Times New Roman" w:hAnsi="Times New Roman"/>
          <w:sz w:val="24"/>
          <w:szCs w:val="24"/>
        </w:rPr>
        <w:t xml:space="preserve"/>
      </w:r>
    </w:p>
    <w:p>
      <w:pPr>
        <w:pBdr>
          <w:top w:val="single" w:color="1A2F4A" w:sz="4"/>
          <w:bottom w:val="single" w:color="1A2F4A" w:sz="4"/>
          <w:left w:val="single" w:color="1A2F4A" w:sz="6"/>
          <w:right w:val="single" w:color="1A2F4A" w:sz="6"/>
        </w:pBdr>
        <w:spacing w:after="200" w:before="120" w:line="276"/>
        <w:ind w:left="720" w:right="720"/>
        <w:jc w:val="both"/>
      </w:pPr>
      <w:r>
        <w:rPr>
          <w:rFonts w:ascii="Times New Roman" w:cs="Times New Roman" w:eastAsia="Times New Roman" w:hAnsi="Times New Roman"/>
          <w:i/>
          <w:iCs/>
          <w:color w:val="1A2F4A"/>
          <w:sz w:val="22"/>
          <w:szCs w:val="22"/>
        </w:rPr>
        <w:t xml:space="preserve">Fin del Capítulo 2.
El Capítulo 3 desarrollará: Protocolo metodológico — riesgos, validación científica y replicabilidad.
Espero sus observaciones para continuar.</w:t>
      </w:r>
    </w:p>
    <w:p>
      <w:r>
        <w:br w:type="page"/>
      </w:r>
    </w:p>
    <w:p>
      <w:pPr>
        <w:spacing w:after="200" w:before="400" w:line="276"/>
        <w:jc w:val="left"/>
      </w:pPr>
      <w:r>
        <w:rPr>
          <w:rFonts w:ascii="Times New Roman" w:cs="Times New Roman" w:eastAsia="Times New Roman" w:hAnsi="Times New Roman"/>
          <w:b/>
          <w:bCs/>
          <w:color w:val="000000"/>
          <w:sz w:val="28"/>
          <w:szCs w:val="28"/>
        </w:rPr>
        <w:t xml:space="preserve">Capítulo 3</w:t>
      </w:r>
    </w:p>
    <w:p>
      <w:pPr>
        <w:spacing w:after="240" w:before="0" w:line="276"/>
        <w:jc w:val="left"/>
      </w:pPr>
      <w:r>
        <w:rPr>
          <w:rFonts w:ascii="Times New Roman" w:cs="Times New Roman" w:eastAsia="Times New Roman" w:hAnsi="Times New Roman"/>
          <w:b/>
          <w:bCs/>
          <w:color w:val="1A2F4A"/>
          <w:sz w:val="32"/>
          <w:szCs w:val="32"/>
        </w:rPr>
        <w:t xml:space="preserve">Protocolo metodológico para sistemas multiagente</w:t>
      </w:r>
    </w:p>
    <w:p>
      <w:pPr>
        <w:pBdr>
          <w:top w:val="single" w:color="1A2F4A" w:sz="4"/>
          <w:bottom w:val="single" w:color="1A2F4A" w:sz="4"/>
          <w:left w:val="single" w:color="1A2F4A" w:sz="6"/>
          <w:right w:val="single" w:color="1A2F4A" w:sz="6"/>
        </w:pBdr>
        <w:spacing w:after="200" w:before="120" w:line="276"/>
        <w:ind w:left="720" w:right="720"/>
        <w:jc w:val="both"/>
      </w:pPr>
      <w:r>
        <w:rPr>
          <w:rFonts w:ascii="Times New Roman" w:cs="Times New Roman" w:eastAsia="Times New Roman" w:hAnsi="Times New Roman"/>
          <w:i/>
          <w:iCs/>
          <w:color w:val="1A2F4A"/>
          <w:sz w:val="22"/>
          <w:szCs w:val="22"/>
        </w:rPr>
        <w:t xml:space="preserve">«El sistema ejecuta con velocidad y precisión. El investigador recuerda, revisa, corrige y exige. Ninguno funciona bien sin el otro.»
Manuel J. Sotomayor-Fernández</w:t>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El capítulo anterior terminó con una confesión: si repitiera el proceso mañana, me prepararía más para no cometer errores. Este capítulo es la respuesta a esa confesión. No el relato de lo que salió mal, sino el protocolo de lo que debe hacerse bien.</w:t>
      </w:r>
    </w:p>
    <w:p>
      <w:pPr>
        <w:spacing w:after="80" w:before="0" w:line="276"/>
      </w:pPr>
      <w:r>
        <w:rPr>
          <w:rFonts w:ascii="Times New Roman" w:cs="Times New Roman" w:eastAsia="Times New Roman" w:hAnsi="Times New Roman"/>
          <w:sz w:val="24"/>
          <w:szCs w:val="24"/>
        </w:rPr>
        <w:t xml:space="preserve"/>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Pero antes de proponer el protocolo, es necesario mirar de frente algo que los relatos entusiastas sobre IA en la academia tienden a eludir: los riesgos reales del proceso. No los riesgos hipotéticos de un futuro distante, sino los que ya están ocurriendo hoy, en cada universidad que empieza a usar sistemas de inteligencia artificial sin protocolos de validación. Zawacki-Richter et al. (2019) identificaron que la literatura sobre IA en educación superior tiende al optimismo y subestima sistemáticamente los riesgos. Este capítulo intenta corregir ese sesgo desde la experiencia directa.</w:t>
      </w:r>
    </w:p>
    <w:p>
      <w:pPr>
        <w:spacing w:after="160" w:before="0" w:line="276"/>
      </w:pPr>
      <w:r>
        <w:rPr>
          <w:rFonts w:ascii="Times New Roman" w:cs="Times New Roman" w:eastAsia="Times New Roman" w:hAnsi="Times New Roman"/>
          <w:sz w:val="24"/>
          <w:szCs w:val="24"/>
        </w:rPr>
        <w:t xml:space="preserve"/>
      </w:r>
    </w:p>
    <w:p>
      <w:pPr>
        <w:spacing w:after="160" w:before="320" w:line="276"/>
        <w:jc w:val="left"/>
      </w:pPr>
      <w:r>
        <w:rPr>
          <w:rFonts w:ascii="Times New Roman" w:cs="Times New Roman" w:eastAsia="Times New Roman" w:hAnsi="Times New Roman"/>
          <w:b/>
          <w:bCs/>
          <w:color w:val="000000"/>
          <w:sz w:val="26"/>
          <w:szCs w:val="26"/>
        </w:rPr>
        <w:t xml:space="preserve">3.1. Riesgos reales: lo que el entusiasmo oculta</w:t>
      </w:r>
    </w:p>
    <w:p>
      <w:pPr>
        <w:spacing w:after="120" w:before="240" w:line="276"/>
        <w:jc w:val="left"/>
      </w:pPr>
      <w:r>
        <w:rPr>
          <w:rFonts w:ascii="Times New Roman" w:cs="Times New Roman" w:eastAsia="Times New Roman" w:hAnsi="Times New Roman"/>
          <w:b/>
          <w:bCs/>
          <w:color w:val="000000"/>
          <w:sz w:val="24"/>
          <w:szCs w:val="24"/>
        </w:rPr>
        <w:t xml:space="preserve">El riesgo que más se subestima: las alucinaciones</w:t>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Los modelos de lenguaje de gran escala -- incluyendo Claude -- pueden generar afirmaciones pláusibles que son factualmente incorrectas. En el ámbito académico, esto se manifiesta de tres formas que conviene nombrar con precisión.</w:t>
      </w:r>
    </w:p>
    <w:p>
      <w:pPr>
        <w:spacing w:after="80" w:before="0" w:line="276"/>
      </w:pPr>
      <w:r>
        <w:rPr>
          <w:rFonts w:ascii="Times New Roman" w:cs="Times New Roman" w:eastAsia="Times New Roman" w:hAnsi="Times New Roman"/>
          <w:sz w:val="24"/>
          <w:szCs w:val="24"/>
        </w:rPr>
        <w:t xml:space="preserve"/>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La primera es la referencia bibliográfica inventada. El sistema puede generar una cita con autor real, año plausible, título coherente y DOI válido en apariencia -- que en realidad no existe. No es un error tipográfico. Es una construcción convincente que solo un investigador con conocimiento disciplinario profundo puede detectar, porque el error no está en la forma sino en la existencia del texto citado.</w:t>
      </w:r>
    </w:p>
    <w:p>
      <w:pPr>
        <w:spacing w:after="80" w:before="0" w:line="276"/>
      </w:pPr>
      <w:r>
        <w:rPr>
          <w:rFonts w:ascii="Times New Roman" w:cs="Times New Roman" w:eastAsia="Times New Roman" w:hAnsi="Times New Roman"/>
          <w:sz w:val="24"/>
          <w:szCs w:val="24"/>
        </w:rPr>
        <w:t xml:space="preserve"/>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La segunda es el dato estadístico fabricado. Una cifra que suena realista -- «el 68.3% de los estudiantes universitarios piuranos» -- sin que exista ningún estudio que la respalde. El número es específico, el porcentaje es preciso, el contexto es correcto. Solo falta que sea verdad.</w:t>
      </w:r>
    </w:p>
    <w:p>
      <w:pPr>
        <w:spacing w:after="80" w:before="0" w:line="276"/>
      </w:pPr>
      <w:r>
        <w:rPr>
          <w:rFonts w:ascii="Times New Roman" w:cs="Times New Roman" w:eastAsia="Times New Roman" w:hAnsi="Times New Roman"/>
          <w:sz w:val="24"/>
          <w:szCs w:val="24"/>
        </w:rPr>
        <w:t xml:space="preserve"/>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La tercera es el argumento circular. El sistema puede construir una cadena de razonamiento internamente coherente pero basada en una premisa falsa que pasa desapercibida si el investigador no la verifica contra fuentes primarias. Un argumento que se sostiene a sí mismo no necesariamente se sostiene contra la realidad.</w:t>
      </w:r>
    </w:p>
    <w:p>
      <w:pPr>
        <w:spacing w:after="80" w:before="0" w:line="276"/>
      </w:pPr>
      <w:r>
        <w:rPr>
          <w:rFonts w:ascii="Times New Roman" w:cs="Times New Roman" w:eastAsia="Times New Roman" w:hAnsi="Times New Roman"/>
          <w:sz w:val="24"/>
          <w:szCs w:val="24"/>
        </w:rPr>
        <w:t xml:space="preserve"/>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En el proceso que describe este libro, el riesgo de alucinación fue gestionado de manera parcialmente intuitiva: el investigador conocía los datos de los 33 distritos rurales de Piura y podía verificar si los números que aparecían en el artículo eran coherentes con sus fuentes. Esa verificación dependía del conocimiento disciplinario del investigador, no de un protocolo sistemático. La diferencia importa: un investigador que trabaja en un tema que no domina profundamente tiene menos capacidad de detectar esas inconsistencias, y el sistema no lo advertirá por él.</w:t>
      </w:r>
    </w:p>
    <w:p>
      <w:pPr>
        <w:spacing w:after="80" w:before="0" w:line="276"/>
      </w:pPr>
      <w:r>
        <w:rPr>
          <w:rFonts w:ascii="Times New Roman" w:cs="Times New Roman" w:eastAsia="Times New Roman" w:hAnsi="Times New Roman"/>
          <w:sz w:val="24"/>
          <w:szCs w:val="24"/>
        </w:rPr>
        <w:t xml:space="preserve"/>
      </w:r>
    </w:p>
    <w:p>
      <w:pPr>
        <w:spacing w:after="120" w:before="240" w:line="276"/>
        <w:jc w:val="left"/>
      </w:pPr>
      <w:r>
        <w:rPr>
          <w:rFonts w:ascii="Times New Roman" w:cs="Times New Roman" w:eastAsia="Times New Roman" w:hAnsi="Times New Roman"/>
          <w:b/>
          <w:bCs/>
          <w:color w:val="000000"/>
          <w:sz w:val="24"/>
          <w:szCs w:val="24"/>
        </w:rPr>
        <w:t xml:space="preserve">El sesgo de confirmación: el riesgo que menos se nota</w:t>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El sistema tiende a producir argumentos coherentes con el encuadre que el investigador le proporciona. Si se pide un artículo que «demuestre» una hipótesis, el sistema construirá el argumento para demostrarla -- incluso si la evidencia es insuficiente o si existen hallazgos contradictorios en la literatura que el sistema no mencionará espontáneamente.</w:t>
      </w:r>
    </w:p>
    <w:p>
      <w:pPr>
        <w:spacing w:after="80" w:before="0" w:line="276"/>
      </w:pPr>
      <w:r>
        <w:rPr>
          <w:rFonts w:ascii="Times New Roman" w:cs="Times New Roman" w:eastAsia="Times New Roman" w:hAnsi="Times New Roman"/>
          <w:sz w:val="24"/>
          <w:szCs w:val="24"/>
        </w:rPr>
        <w:t xml:space="preserve"/>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Este sesgo de confirmación es especialmente peligroso porque produce textos muy convincentes. La garantía contra él es el conocimiento disciplinario del investigador y la revisión crítica del Agente 5 -- el Revisor -- que fue diseñado precisamente para detectar inconsistencias lógicas y debilidades del argumento. Pero ninguna garantía es perfecta: si el investigador le pide al sistema que argumente en una dirección, y si el revisor está configurado para mejorar ese argumento en lugar de cuestionarlo, el sesgo puede sobrevivir todo el pipeline.</w:t>
      </w:r>
    </w:p>
    <w:p>
      <w:pPr>
        <w:spacing w:after="80" w:before="0" w:line="276"/>
      </w:pPr>
      <w:r>
        <w:rPr>
          <w:rFonts w:ascii="Times New Roman" w:cs="Times New Roman" w:eastAsia="Times New Roman" w:hAnsi="Times New Roman"/>
          <w:sz w:val="24"/>
          <w:szCs w:val="24"/>
        </w:rPr>
        <w:t xml:space="preserve"/>
      </w:r>
    </w:p>
    <w:p>
      <w:pPr>
        <w:spacing w:after="120" w:before="240" w:line="276"/>
        <w:jc w:val="left"/>
      </w:pPr>
      <w:r>
        <w:rPr>
          <w:rFonts w:ascii="Times New Roman" w:cs="Times New Roman" w:eastAsia="Times New Roman" w:hAnsi="Times New Roman"/>
          <w:b/>
          <w:bCs/>
          <w:color w:val="000000"/>
          <w:sz w:val="24"/>
          <w:szCs w:val="24"/>
        </w:rPr>
        <w:t xml:space="preserve">La dependencia tecnológica: el costo que nadie calcula</w:t>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SciAgent requiere una API key de Anthropic con crédito suficiente. En el contexto de la investigación universitaria peruana -- y especialmente en Piura, donde la conectividad alcanza menos del 40% de avance en el proyecto de instalación de banda ancha (ComexPerú, 2026) y el acceso a tarjetas de crédito internacionales no es universal -- este costo no es trivial.</w:t>
      </w:r>
    </w:p>
    <w:p>
      <w:pPr>
        <w:spacing w:after="80" w:before="0" w:line="276"/>
      </w:pPr>
      <w:r>
        <w:rPr>
          <w:rFonts w:ascii="Times New Roman" w:cs="Times New Roman" w:eastAsia="Times New Roman" w:hAnsi="Times New Roman"/>
          <w:sz w:val="24"/>
          <w:szCs w:val="24"/>
        </w:rPr>
        <w:t xml:space="preserve"/>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Un pipeline completo de once agentes sobre un artículo de complejidad media puede consumir entre 3 y 8 dólares de crédito de API, dependiendo de la longitud de los outputs. Eso equivale a una fractura de acceso: los investigadores con mayor poder adquisitivo pueden usar el sistema de manera intensiva; los que no pueden costear ese gasto enfrentan una barrera real. Luckin (2018) advirtió que las tecnologías de IA en educación tienden a reproducir y ampliar las desigualdades preexistentes si no se diseñan con criterios de equidad desde el inicio. En Piura, esa advertencia no es abstracta: es una condición operativa que cualquier protocolo responsable debe reconocer.</w:t>
      </w:r>
    </w:p>
    <w:p>
      <w:pPr>
        <w:spacing w:after="160" w:before="0" w:line="276"/>
      </w:pPr>
      <w:r>
        <w:rPr>
          <w:rFonts w:ascii="Times New Roman" w:cs="Times New Roman" w:eastAsia="Times New Roman" w:hAnsi="Times New Roman"/>
          <w:sz w:val="24"/>
          <w:szCs w:val="24"/>
        </w:rPr>
        <w:t xml:space="preserve"/>
      </w:r>
    </w:p>
    <w:p>
      <w:pPr>
        <w:spacing w:after="160" w:before="320" w:line="276"/>
        <w:jc w:val="left"/>
      </w:pPr>
      <w:r>
        <w:rPr>
          <w:rFonts w:ascii="Times New Roman" w:cs="Times New Roman" w:eastAsia="Times New Roman" w:hAnsi="Times New Roman"/>
          <w:b/>
          <w:bCs/>
          <w:color w:val="000000"/>
          <w:sz w:val="26"/>
          <w:szCs w:val="26"/>
        </w:rPr>
        <w:t xml:space="preserve">3.2. Validación científica: cómo saber si lo que produjo el sistema es válido</w:t>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Esta es la pregunta más incómoda del capítulo, y la que requiere respuesta más precisa: no basta con decir que el proceso produjo artículos -- hay que explicar cómo se sabe que esos artículos son científicamente válidos.</w:t>
      </w:r>
    </w:p>
    <w:p>
      <w:pPr>
        <w:spacing w:after="80" w:before="0" w:line="276"/>
      </w:pPr>
      <w:r>
        <w:rPr>
          <w:rFonts w:ascii="Times New Roman" w:cs="Times New Roman" w:eastAsia="Times New Roman" w:hAnsi="Times New Roman"/>
          <w:sz w:val="24"/>
          <w:szCs w:val="24"/>
        </w:rPr>
        <w:t xml:space="preserve"/>
      </w:r>
    </w:p>
    <w:p>
      <w:pPr>
        <w:spacing w:after="120" w:before="240" w:line="276"/>
        <w:jc w:val="left"/>
      </w:pPr>
      <w:r>
        <w:rPr>
          <w:rFonts w:ascii="Times New Roman" w:cs="Times New Roman" w:eastAsia="Times New Roman" w:hAnsi="Times New Roman"/>
          <w:b/>
          <w:bCs/>
          <w:color w:val="000000"/>
          <w:sz w:val="24"/>
          <w:szCs w:val="24"/>
        </w:rPr>
        <w:t xml:space="preserve">La distinción fundamental: datos aportados vs. construcciones del modelo</w:t>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El primer criterio de validación es distinguir con precisión qué elementos del artículo provienen de fuentes verificables y cuáles son construcciones del modelo. En los artículos producidos en este proceso, los datos de ejecución presupuestal de los 33 distritos rurales de Piura fueron aportados por el investigador desde archivos de campo propios y fuentes oficiales (MEF, BCRP, GORE Piura). Las proyecciones del modelo PINN -- el Índice de Curvatura Social proyectado a 2030, los intervalos de confianza -- son construcciones del modelo basadas en parámetros que el investigador validó con literatura especializada.</w:t>
      </w:r>
    </w:p>
    <w:p>
      <w:pPr>
        <w:spacing w:after="80" w:before="0" w:line="276"/>
      </w:pPr>
      <w:r>
        <w:rPr>
          <w:rFonts w:ascii="Times New Roman" w:cs="Times New Roman" w:eastAsia="Times New Roman" w:hAnsi="Times New Roman"/>
          <w:sz w:val="24"/>
          <w:szCs w:val="24"/>
        </w:rPr>
        <w:t xml:space="preserve"/>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Esa distinción debe ser explícita en la nota metodológica de cada artículo: el lector tiene derecho a saber qué es dato verificado y qué es estimación modelada. Un artículo que mezcla ambos sin distinguirlos no es deshonesto por intención, pero sí lo es por omisión.</w:t>
      </w:r>
    </w:p>
    <w:p>
      <w:pPr>
        <w:spacing w:after="80" w:before="0" w:line="276"/>
      </w:pPr>
      <w:r>
        <w:rPr>
          <w:rFonts w:ascii="Times New Roman" w:cs="Times New Roman" w:eastAsia="Times New Roman" w:hAnsi="Times New Roman"/>
          <w:sz w:val="24"/>
          <w:szCs w:val="24"/>
        </w:rPr>
        <w:t xml:space="preserve"/>
      </w:r>
    </w:p>
    <w:p>
      <w:pPr>
        <w:spacing w:after="120" w:before="240" w:line="276"/>
        <w:jc w:val="left"/>
      </w:pPr>
      <w:r>
        <w:rPr>
          <w:rFonts w:ascii="Times New Roman" w:cs="Times New Roman" w:eastAsia="Times New Roman" w:hAnsi="Times New Roman"/>
          <w:b/>
          <w:bCs/>
          <w:color w:val="000000"/>
          <w:sz w:val="24"/>
          <w:szCs w:val="24"/>
        </w:rPr>
        <w:t xml:space="preserve">La validación convergente: contrastando el indicador nuevo con los establecidos</w:t>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El artículo del ICS aplicó validación convergente calculando la correlación de Pearson entre el índice generado y dos indicadores establecidos: el Índice de Desarrollo Humano (r = -0.71) y el Índice de Necesidades Básicas Insatisfechas (r = 0.68). Esos cálculos fueron realizados sobre los datos reales de los distritos, no generados por el sistema.</w:t>
      </w:r>
    </w:p>
    <w:p>
      <w:pPr>
        <w:spacing w:after="80" w:before="0" w:line="276"/>
      </w:pPr>
      <w:r>
        <w:rPr>
          <w:rFonts w:ascii="Times New Roman" w:cs="Times New Roman" w:eastAsia="Times New Roman" w:hAnsi="Times New Roman"/>
          <w:sz w:val="24"/>
          <w:szCs w:val="24"/>
        </w:rPr>
        <w:t xml:space="preserve"/>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La validación convergente -- el procedimiento de contrastar un indicador nuevo con indicadores ya aceptados por la comunidad científica -- es uno de los métodos más sólidos para establecer la validez de una métrica original. Su aplicación en este caso produjo evidencia de que el ICS mide algo real y diferente de lo que el IDH y el NBI miden por separado: eso no es trivial. Es el argumento central de novedad del artículo, y es un argumento que el sistema no pudo generar por sí solo -- requirió los datos y el criterio del investigador.</w:t>
      </w:r>
    </w:p>
    <w:p>
      <w:pPr>
        <w:spacing w:after="80" w:before="0" w:line="276"/>
      </w:pPr>
      <w:r>
        <w:rPr>
          <w:rFonts w:ascii="Times New Roman" w:cs="Times New Roman" w:eastAsia="Times New Roman" w:hAnsi="Times New Roman"/>
          <w:sz w:val="24"/>
          <w:szCs w:val="24"/>
        </w:rPr>
        <w:t xml:space="preserve"/>
      </w:r>
    </w:p>
    <w:p>
      <w:pPr>
        <w:spacing w:after="120" w:before="240" w:line="276"/>
        <w:jc w:val="left"/>
      </w:pPr>
      <w:r>
        <w:rPr>
          <w:rFonts w:ascii="Times New Roman" w:cs="Times New Roman" w:eastAsia="Times New Roman" w:hAnsi="Times New Roman"/>
          <w:b/>
          <w:bCs/>
          <w:color w:val="000000"/>
          <w:sz w:val="24"/>
          <w:szCs w:val="24"/>
        </w:rPr>
        <w:t xml:space="preserve">El protocolo mínimo de revisión humana</w:t>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A partir de esta experiencia, se propone el siguiente protocolo de cinco pasos para cualquier artículo producido con SciAgent o con cualquier sistema multiagente equivalente:</w:t>
      </w:r>
    </w:p>
    <w:p>
      <w:pPr>
        <w:spacing w:after="60" w:before="0" w:line="276"/>
      </w:pPr>
      <w:r>
        <w:rPr>
          <w:rFonts w:ascii="Times New Roman" w:cs="Times New Roman" w:eastAsia="Times New Roman" w:hAnsi="Times New Roman"/>
          <w:sz w:val="24"/>
          <w:szCs w:val="24"/>
        </w:rPr>
        <w:t xml:space="preserve"/>
      </w:r>
    </w:p>
    <w:p>
      <w:pPr>
        <w:spacing w:after="80" w:before="0" w:line="276"/>
        <w:ind w:left="720" w:right="720"/>
        <w:jc w:val="both"/>
      </w:pPr>
      <w:r>
        <w:rPr>
          <w:rFonts w:ascii="Times New Roman" w:cs="Times New Roman" w:eastAsia="Times New Roman" w:hAnsi="Times New Roman"/>
          <w:b w:val="false"/>
          <w:bCs w:val="false"/>
          <w:i w:val="false"/>
          <w:iCs w:val="false"/>
          <w:color w:val="000000"/>
          <w:sz w:val="24"/>
          <w:szCs w:val="24"/>
        </w:rPr>
        <w:t xml:space="preserve">Primero: verificar manualmente todas las citas bibliográficas contra sus fuentes originales. Sin excepción. Acceder al DOI o al repositorio institucional para confirmar que el texto existe, y leer al menos el abstract para verificar que el argumento del sistema lo cita con precisión.</w:t>
      </w:r>
    </w:p>
    <w:p>
      <w:pPr>
        <w:spacing w:after="80" w:before="0" w:line="276"/>
        <w:ind w:left="720" w:right="720"/>
        <w:jc w:val="both"/>
      </w:pPr>
      <w:r>
        <w:rPr>
          <w:rFonts w:ascii="Times New Roman" w:cs="Times New Roman" w:eastAsia="Times New Roman" w:hAnsi="Times New Roman"/>
          <w:b w:val="false"/>
          <w:bCs w:val="false"/>
          <w:i w:val="false"/>
          <w:iCs w:val="false"/>
          <w:color w:val="000000"/>
          <w:sz w:val="24"/>
          <w:szCs w:val="24"/>
        </w:rPr>
        <w:t xml:space="preserve">Segundo: confirmar todos los datos cuantitativos contra las fuentes primarias que el investigador aportó. Ningún número que el investigador no haya introducido directamente debe aceptarse sin verificación.</w:t>
      </w:r>
    </w:p>
    <w:p>
      <w:pPr>
        <w:spacing w:after="80" w:before="0" w:line="276"/>
        <w:ind w:left="720" w:right="720"/>
        <w:jc w:val="both"/>
      </w:pPr>
      <w:r>
        <w:rPr>
          <w:rFonts w:ascii="Times New Roman" w:cs="Times New Roman" w:eastAsia="Times New Roman" w:hAnsi="Times New Roman"/>
          <w:b w:val="false"/>
          <w:bCs w:val="false"/>
          <w:i w:val="false"/>
          <w:iCs w:val="false"/>
          <w:color w:val="000000"/>
          <w:sz w:val="24"/>
          <w:szCs w:val="24"/>
        </w:rPr>
        <w:t xml:space="preserve">Tercero: revisar que la sección de metodología describe con precisión el proceso real -- incluyendo los ajustes manuales que el investigador realizó durante la generación. Un artículo cuya metodología no describe lo que realmente se hizo no es reproducible.</w:t>
      </w:r>
    </w:p>
    <w:p>
      <w:pPr>
        <w:spacing w:after="80" w:before="0" w:line="276"/>
        <w:ind w:left="720" w:right="720"/>
        <w:jc w:val="both"/>
      </w:pPr>
      <w:r>
        <w:rPr>
          <w:rFonts w:ascii="Times New Roman" w:cs="Times New Roman" w:eastAsia="Times New Roman" w:hAnsi="Times New Roman"/>
          <w:b w:val="false"/>
          <w:bCs w:val="false"/>
          <w:i w:val="false"/>
          <w:iCs w:val="false"/>
          <w:color w:val="000000"/>
          <w:sz w:val="24"/>
          <w:szCs w:val="24"/>
        </w:rPr>
        <w:t xml:space="preserve">Cuarto: someter el manuscrito al juicio de al menos un colega del campo disciplinario antes del envío a la revista. El sistema no puede reemplazar la revisión por pares, y ningún protocolo interno puede sustituirla.</w:t>
      </w:r>
    </w:p>
    <w:p>
      <w:pPr>
        <w:spacing w:after="80" w:before="0" w:line="276"/>
        <w:ind w:left="720" w:right="720"/>
        <w:jc w:val="both"/>
      </w:pPr>
      <w:r>
        <w:rPr>
          <w:rFonts w:ascii="Times New Roman" w:cs="Times New Roman" w:eastAsia="Times New Roman" w:hAnsi="Times New Roman"/>
          <w:b w:val="false"/>
          <w:bCs w:val="false"/>
          <w:i w:val="false"/>
          <w:iCs w:val="false"/>
          <w:color w:val="000000"/>
          <w:sz w:val="24"/>
          <w:szCs w:val="24"/>
        </w:rPr>
        <w:t xml:space="preserve">Quinto: declarar explícitamente el uso de IA en la sección de limitaciones de responsabilidades, especificando qué agentes se utilizaron, para qué tareas y cómo se validó el output. Ningún paso de este protocolo puede ser realizado por el sistema. Son trabajo humano, y su omisión compromete la integridad del producto.</w:t>
      </w:r>
    </w:p>
    <w:p>
      <w:pPr>
        <w:pBdr>
          <w:top w:val="single" w:color="1A2F4A" w:sz="4"/>
          <w:bottom w:val="single" w:color="1A2F4A" w:sz="4"/>
          <w:left w:val="single" w:color="1A2F4A" w:sz="6"/>
          <w:right w:val="single" w:color="1A2F4A" w:sz="6"/>
        </w:pBdr>
        <w:spacing w:after="200" w:before="120" w:line="276"/>
        <w:ind w:left="720" w:right="720"/>
        <w:jc w:val="both"/>
      </w:pPr>
      <w:r>
        <w:rPr>
          <w:rFonts w:ascii="Times New Roman" w:cs="Times New Roman" w:eastAsia="Times New Roman" w:hAnsi="Times New Roman"/>
          <w:i/>
          <w:iCs/>
          <w:color w:val="1A2F4A"/>
          <w:sz w:val="22"/>
          <w:szCs w:val="22"/>
        </w:rPr>
        <w:t xml:space="preserve">El protocolo no es una garantía de calidad absoluta. Es la condición mínima que convierte el output del sistema en un artículo científico defendible ante un revisor externo.</w:t>
      </w:r>
    </w:p>
    <w:p>
      <w:pPr>
        <w:spacing w:after="160" w:before="0" w:line="276"/>
      </w:pPr>
      <w:r>
        <w:rPr>
          <w:rFonts w:ascii="Times New Roman" w:cs="Times New Roman" w:eastAsia="Times New Roman" w:hAnsi="Times New Roman"/>
          <w:sz w:val="24"/>
          <w:szCs w:val="24"/>
        </w:rPr>
        <w:t xml:space="preserve"/>
      </w:r>
    </w:p>
    <w:p>
      <w:pPr>
        <w:spacing w:after="160" w:before="320" w:line="276"/>
        <w:jc w:val="left"/>
      </w:pPr>
      <w:r>
        <w:rPr>
          <w:rFonts w:ascii="Times New Roman" w:cs="Times New Roman" w:eastAsia="Times New Roman" w:hAnsi="Times New Roman"/>
          <w:b/>
          <w:bCs/>
          <w:color w:val="000000"/>
          <w:sz w:val="26"/>
          <w:szCs w:val="26"/>
        </w:rPr>
        <w:t xml:space="preserve">3.3. Replicabilidad responsable: quién puede hacer esto y en qué condiciones</w:t>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Este libro afirmó en el capítulo anterior que el proceso es replicable. Esa afirmación requiere precisión: replicable para quién, en qué condiciones y con qué resultado esperado.</w:t>
      </w:r>
    </w:p>
    <w:p>
      <w:pPr>
        <w:spacing w:after="80" w:before="0" w:line="276"/>
      </w:pPr>
      <w:r>
        <w:rPr>
          <w:rFonts w:ascii="Times New Roman" w:cs="Times New Roman" w:eastAsia="Times New Roman" w:hAnsi="Times New Roman"/>
          <w:sz w:val="24"/>
          <w:szCs w:val="24"/>
        </w:rPr>
        <w:t xml:space="preserve"/>
      </w:r>
    </w:p>
    <w:p>
      <w:pPr>
        <w:spacing w:after="120" w:before="240" w:line="276"/>
        <w:jc w:val="left"/>
      </w:pPr>
      <w:r>
        <w:rPr>
          <w:rFonts w:ascii="Times New Roman" w:cs="Times New Roman" w:eastAsia="Times New Roman" w:hAnsi="Times New Roman"/>
          <w:b/>
          <w:bCs/>
          <w:color w:val="000000"/>
          <w:sz w:val="24"/>
          <w:szCs w:val="24"/>
        </w:rPr>
        <w:t xml:space="preserve">Las cinco condiciones mínimas</w:t>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Para replicar este proceso en el contexto de la educación superior peruana -- y específicamente en Piura -- se necesitan al menos cinco condiciones.</w:t>
      </w:r>
    </w:p>
    <w:p>
      <w:pPr>
        <w:spacing w:after="60" w:before="0" w:line="276"/>
      </w:pPr>
      <w:r>
        <w:rPr>
          <w:rFonts w:ascii="Times New Roman" w:cs="Times New Roman" w:eastAsia="Times New Roman" w:hAnsi="Times New Roman"/>
          <w:sz w:val="24"/>
          <w:szCs w:val="24"/>
        </w:rPr>
        <w:t xml:space="preserve"/>
      </w:r>
    </w:p>
    <w:p>
      <w:pPr>
        <w:spacing w:after="80" w:before="0" w:line="276"/>
        <w:ind w:left="720" w:right="720"/>
        <w:jc w:val="both"/>
      </w:pPr>
      <w:r>
        <w:rPr>
          <w:rFonts w:ascii="Times New Roman" w:cs="Times New Roman" w:eastAsia="Times New Roman" w:hAnsi="Times New Roman"/>
          <w:b w:val="false"/>
          <w:bCs w:val="false"/>
          <w:i w:val="false"/>
          <w:iCs w:val="false"/>
          <w:color w:val="000000"/>
          <w:sz w:val="24"/>
          <w:szCs w:val="24"/>
        </w:rPr>
        <w:t xml:space="preserve">La primera es conectividad estable. El pipeline completo consume varios minutos de transmisión de datos; una conexión inestable interrumpe el proceso y puede generar outputs incompletos.</w:t>
      </w:r>
    </w:p>
    <w:p>
      <w:pPr>
        <w:spacing w:after="80" w:before="0" w:line="276"/>
        <w:ind w:left="720" w:right="720"/>
        <w:jc w:val="both"/>
      </w:pPr>
      <w:r>
        <w:rPr>
          <w:rFonts w:ascii="Times New Roman" w:cs="Times New Roman" w:eastAsia="Times New Roman" w:hAnsi="Times New Roman"/>
          <w:b w:val="false"/>
          <w:bCs w:val="false"/>
          <w:i w:val="false"/>
          <w:iCs w:val="false"/>
          <w:color w:val="000000"/>
          <w:sz w:val="24"/>
          <w:szCs w:val="24"/>
        </w:rPr>
        <w:t xml:space="preserve">La segunda es una API key de Anthropic con crédito suficiente. El costo estimado por artículo fue señalado arriba.</w:t>
      </w:r>
    </w:p>
    <w:p>
      <w:pPr>
        <w:spacing w:after="80" w:before="0" w:line="276"/>
        <w:ind w:left="720" w:right="720"/>
        <w:jc w:val="both"/>
      </w:pPr>
      <w:r>
        <w:rPr>
          <w:rFonts w:ascii="Times New Roman" w:cs="Times New Roman" w:eastAsia="Times New Roman" w:hAnsi="Times New Roman"/>
          <w:b w:val="false"/>
          <w:bCs w:val="false"/>
          <w:i w:val="false"/>
          <w:iCs w:val="false"/>
          <w:color w:val="000000"/>
          <w:sz w:val="24"/>
          <w:szCs w:val="24"/>
        </w:rPr>
        <w:t xml:space="preserve">La tercera es Node.js instalado y configurado en el equipo. Sin esto, el orquestador no puede ejecutarse.</w:t>
      </w:r>
    </w:p>
    <w:p>
      <w:pPr>
        <w:spacing w:after="80" w:before="0" w:line="276"/>
        <w:ind w:left="720" w:right="720"/>
        <w:jc w:val="both"/>
      </w:pPr>
      <w:r>
        <w:rPr>
          <w:rFonts w:ascii="Times New Roman" w:cs="Times New Roman" w:eastAsia="Times New Roman" w:hAnsi="Times New Roman"/>
          <w:b w:val="false"/>
          <w:bCs w:val="false"/>
          <w:i w:val="false"/>
          <w:iCs w:val="false"/>
          <w:color w:val="000000"/>
          <w:sz w:val="24"/>
          <w:szCs w:val="24"/>
        </w:rPr>
        <w:t xml:space="preserve">La cuarta es conocimiento disciplinario profundo del tema de investigación. Sin ese conocimiento, el investigador no puede detectar los errores del sistema ni aportar los datos que el sistema no tiene.</w:t>
      </w:r>
    </w:p>
    <w:p>
      <w:pPr>
        <w:spacing w:after="80" w:before="0" w:line="276"/>
        <w:ind w:left="720" w:right="720"/>
        <w:jc w:val="both"/>
      </w:pPr>
      <w:r>
        <w:rPr>
          <w:rFonts w:ascii="Times New Roman" w:cs="Times New Roman" w:eastAsia="Times New Roman" w:hAnsi="Times New Roman"/>
          <w:b w:val="false"/>
          <w:bCs w:val="false"/>
          <w:i w:val="false"/>
          <w:iCs w:val="false"/>
          <w:color w:val="000000"/>
          <w:sz w:val="24"/>
          <w:szCs w:val="24"/>
        </w:rPr>
        <w:t xml:space="preserve">La quinta -- y la más importante -- es preparación conceptual previa: saber qué es un artículo científico, qué secciones obligatorias tiene, a qué revista se dirige y con qué normas, antes de ejecutar el pipeline.</w:t>
      </w:r>
    </w:p>
    <w:p>
      <w:pPr>
        <w:spacing w:after="120" w:before="240" w:line="276"/>
        <w:jc w:val="left"/>
      </w:pPr>
      <w:r>
        <w:rPr>
          <w:rFonts w:ascii="Times New Roman" w:cs="Times New Roman" w:eastAsia="Times New Roman" w:hAnsi="Times New Roman"/>
          <w:b/>
          <w:bCs/>
          <w:color w:val="000000"/>
          <w:sz w:val="24"/>
          <w:szCs w:val="24"/>
        </w:rPr>
        <w:t xml:space="preserve">Los tipos de investigación que se benefician más</w:t>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El sistema rinde mejor en investigación cuantitativa con datos verificables que el investigador puede aportar directamente. El artículo del ICS es el ejemplo paradigmático: datos de campo propios, métodos computacionales bien definidos, resultados numéricos verificables.</w:t>
      </w:r>
    </w:p>
    <w:p>
      <w:pPr>
        <w:spacing w:after="80" w:before="0" w:line="276"/>
      </w:pPr>
      <w:r>
        <w:rPr>
          <w:rFonts w:ascii="Times New Roman" w:cs="Times New Roman" w:eastAsia="Times New Roman" w:hAnsi="Times New Roman"/>
          <w:sz w:val="24"/>
          <w:szCs w:val="24"/>
        </w:rPr>
        <w:t xml:space="preserve"/>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También funciona bien en ensayos analíticos e históricos donde el investigador conoce profundamente la literatura y puede detectar las imprecisiones del sistema. El artículo sobre Estado, nación y desafíos estructurales en el Perú ilustra esto: fue el investigador quien detectó la distinción entre Virreinato del Perú y colonia en sentido jurídico-político -- una precisión historiográfica que el sistema no habría hecho por sí solo.</w:t>
      </w:r>
    </w:p>
    <w:p>
      <w:pPr>
        <w:spacing w:after="80" w:before="0" w:line="276"/>
      </w:pPr>
      <w:r>
        <w:rPr>
          <w:rFonts w:ascii="Times New Roman" w:cs="Times New Roman" w:eastAsia="Times New Roman" w:hAnsi="Times New Roman"/>
          <w:sz w:val="24"/>
          <w:szCs w:val="24"/>
        </w:rPr>
        <w:t xml:space="preserve"/>
      </w:r>
    </w:p>
    <w:p>
      <w:pPr>
        <w:spacing w:after="120" w:before="240" w:line="276"/>
        <w:jc w:val="left"/>
      </w:pPr>
      <w:r>
        <w:rPr>
          <w:rFonts w:ascii="Times New Roman" w:cs="Times New Roman" w:eastAsia="Times New Roman" w:hAnsi="Times New Roman"/>
          <w:b/>
          <w:bCs/>
          <w:color w:val="000000"/>
          <w:sz w:val="24"/>
          <w:szCs w:val="24"/>
        </w:rPr>
        <w:t xml:space="preserve">Los tipos de investigación donde el sistema tiene limitaciones serias</w:t>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El sistema tiene limitaciones importantes en investigación cualitativa que requiere análisis de datos primários -- entrevistas, grupos focales, observación participante. El Agente 3 puede sugerir cómo analizar esos datos, pero no puede realizarlo. En investigación clínica o con poblaciones vulnerables, el sistema puede producir un manuscrito formalmente correcto pero que no ha pasado por los procesos institucionales de aprobación ética que ese tipo de investigación requiere. Y en investigación altamente especializada en campos emergentes, donde la literatura disponible es escasa o muy reciente, el sistema puede generar estados del arte incompletos o sesgados hacia lo que tiene en su entrenamiento.</w:t>
      </w:r>
    </w:p>
    <w:p>
      <w:pPr>
        <w:spacing w:after="80" w:before="0" w:line="276"/>
      </w:pPr>
      <w:r>
        <w:rPr>
          <w:rFonts w:ascii="Times New Roman" w:cs="Times New Roman" w:eastAsia="Times New Roman" w:hAnsi="Times New Roman"/>
          <w:sz w:val="24"/>
          <w:szCs w:val="24"/>
        </w:rPr>
        <w:t xml:space="preserve"/>
      </w:r>
    </w:p>
    <w:p>
      <w:pPr>
        <w:spacing w:after="120" w:before="240" w:line="276"/>
        <w:jc w:val="left"/>
      </w:pPr>
      <w:r>
        <w:rPr>
          <w:rFonts w:ascii="Times New Roman" w:cs="Times New Roman" w:eastAsia="Times New Roman" w:hAnsi="Times New Roman"/>
          <w:b/>
          <w:bCs/>
          <w:color w:val="000000"/>
          <w:sz w:val="24"/>
          <w:szCs w:val="24"/>
        </w:rPr>
        <w:t xml:space="preserve">El contexto específico de Piura</w:t>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Un docente de UTP Piura que quiera replicar este proceso enfrenta condiciones específicas que ningún protocolo puede ignorar. La conectividad variable hace que el proceso sea más frágil que en Lima. El acceso a tarjetas de crédito internacionales para pagar la API es una barrera real para algunos. Y la cultura académica institucional -- que en muchas universidades peruanas aún ve el uso de IA con desconfianza -- puede generar resistencias que el entusiasmo del investigador individual no puede superar solo.</w:t>
      </w:r>
    </w:p>
    <w:p>
      <w:pPr>
        <w:spacing w:after="80" w:before="0" w:line="276"/>
      </w:pPr>
      <w:r>
        <w:rPr>
          <w:rFonts w:ascii="Times New Roman" w:cs="Times New Roman" w:eastAsia="Times New Roman" w:hAnsi="Times New Roman"/>
          <w:sz w:val="24"/>
          <w:szCs w:val="24"/>
        </w:rPr>
        <w:t xml:space="preserve"/>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Estas condiciones no invalidan la replicabilidad del proceso. Pero la condicionan. Ignorarlas en un protocolo que pretende ser útil para investigadores latinoamericanos sería exactamente el tipo de universalismo ingenuo que la investigación situada busca evitar.</w:t>
      </w:r>
    </w:p>
    <w:p>
      <w:pPr>
        <w:spacing w:after="160" w:before="0" w:line="276"/>
      </w:pPr>
      <w:r>
        <w:rPr>
          <w:rFonts w:ascii="Times New Roman" w:cs="Times New Roman" w:eastAsia="Times New Roman" w:hAnsi="Times New Roman"/>
          <w:sz w:val="24"/>
          <w:szCs w:val="24"/>
        </w:rPr>
        <w:t xml:space="preserve"/>
      </w:r>
    </w:p>
    <w:p>
      <w:pPr>
        <w:spacing w:after="160" w:before="320" w:line="276"/>
        <w:jc w:val="left"/>
      </w:pPr>
      <w:r>
        <w:rPr>
          <w:rFonts w:ascii="Times New Roman" w:cs="Times New Roman" w:eastAsia="Times New Roman" w:hAnsi="Times New Roman"/>
          <w:b/>
          <w:bCs/>
          <w:color w:val="000000"/>
          <w:sz w:val="26"/>
          <w:szCs w:val="26"/>
        </w:rPr>
        <w:t xml:space="preserve">3.4. El Agente 0: la respuesta institucional a los riesgos</w:t>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El Agente 0 de Verificación Previa no estaba en el diseño original de SciAgent. Nació de los errores que el capítulo anterior describió. Antes de que el pipeline comience, el Agente 0 pregunta y confirma:</w:t>
      </w:r>
    </w:p>
    <w:p>
      <w:pPr>
        <w:spacing w:after="60" w:before="0" w:line="276"/>
      </w:pPr>
      <w:r>
        <w:rPr>
          <w:rFonts w:ascii="Times New Roman" w:cs="Times New Roman" w:eastAsia="Times New Roman" w:hAnsi="Times New Roman"/>
          <w:sz w:val="24"/>
          <w:szCs w:val="24"/>
        </w:rPr>
        <w:t xml:space="preserve"/>
      </w:r>
    </w:p>
    <w:p>
      <w:pPr>
        <w:spacing w:after="140" w:before="0" w:line="276"/>
        <w:ind w:left="720" w:right="720"/>
        <w:jc w:val="both"/>
      </w:pPr>
      <w:r>
        <w:rPr>
          <w:rFonts w:ascii="Times New Roman" w:cs="Times New Roman" w:eastAsia="Times New Roman" w:hAnsi="Times New Roman"/>
          <w:b w:val="false"/>
          <w:bCs w:val="false"/>
          <w:i w:val="false"/>
          <w:iCs w:val="false"/>
          <w:color w:val="000000"/>
          <w:sz w:val="24"/>
          <w:szCs w:val="24"/>
        </w:rPr>
        <w:t xml:space="preserve">El tipo de estudio. La revista objetivo con su ISSN y formato de referencias. Los datos propios disponibles que el sistema no puede inventar. Las secciones obligatorias incluyendo la metodología. Las precisiones disciplinarias críticas que el sistema no encontrará en la literatura general. Y el checklist IMRAD completo: Introducción, Metodología, Resultados, Discusión, Conclusiones, Referencias.</w:t>
      </w:r>
    </w:p>
    <w:p>
      <w:pPr>
        <w:spacing w:after="80" w:before="0" w:line="276"/>
      </w:pPr>
      <w:r>
        <w:rPr>
          <w:rFonts w:ascii="Times New Roman" w:cs="Times New Roman" w:eastAsia="Times New Roman" w:hAnsi="Times New Roman"/>
          <w:sz w:val="24"/>
          <w:szCs w:val="24"/>
        </w:rPr>
        <w:t xml:space="preserve"/>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Si el investigador no puede responder alguna de esas verificaciones, el Agente 0 no aprueba la ejecución del pipeline. Esa es su función. No es burocracia -- es la formalización de la lección más cara que esta experiencia enseñó: es mejor prepararse bien que generar un artículo incompleto que haya que corregir desde cero.</w:t>
      </w:r>
    </w:p>
    <w:p>
      <w:pPr>
        <w:spacing w:after="80" w:before="0" w:line="276"/>
      </w:pPr>
      <w:r>
        <w:rPr>
          <w:rFonts w:ascii="Times New Roman" w:cs="Times New Roman" w:eastAsia="Times New Roman" w:hAnsi="Times New Roman"/>
          <w:sz w:val="24"/>
          <w:szCs w:val="24"/>
        </w:rPr>
        <w:t xml:space="preserve"/>
      </w:r>
    </w:p>
    <w:p>
      <w:pPr>
        <w:pBdr>
          <w:top w:val="single" w:color="1A2F4A" w:sz="4"/>
          <w:bottom w:val="single" w:color="1A2F4A" w:sz="4"/>
          <w:left w:val="single" w:color="1A2F4A" w:sz="6"/>
          <w:right w:val="single" w:color="1A2F4A" w:sz="6"/>
        </w:pBdr>
        <w:spacing w:after="200" w:before="120" w:line="276"/>
        <w:ind w:left="720" w:right="720"/>
        <w:jc w:val="both"/>
      </w:pPr>
      <w:r>
        <w:rPr>
          <w:rFonts w:ascii="Times New Roman" w:cs="Times New Roman" w:eastAsia="Times New Roman" w:hAnsi="Times New Roman"/>
          <w:i/>
          <w:iCs/>
          <w:color w:val="1A2F4A"/>
          <w:sz w:val="22"/>
          <w:szCs w:val="22"/>
        </w:rPr>
        <w:t xml:space="preserve">«La mejor respuesta a un error no es la disculpa. Es el protocolo que lo hace imposible la próxima vez.»</w:t>
      </w:r>
    </w:p>
    <w:p>
      <w:pPr>
        <w:spacing w:after="160" w:before="0" w:line="276"/>
      </w:pPr>
      <w:r>
        <w:rPr>
          <w:rFonts w:ascii="Times New Roman" w:cs="Times New Roman" w:eastAsia="Times New Roman" w:hAnsi="Times New Roman"/>
          <w:sz w:val="24"/>
          <w:szCs w:val="24"/>
        </w:rPr>
        <w:t xml:space="preserve"/>
      </w:r>
    </w:p>
    <w:p>
      <w:pPr>
        <w:spacing w:after="160" w:before="320" w:line="276"/>
        <w:jc w:val="left"/>
      </w:pPr>
      <w:r>
        <w:rPr>
          <w:rFonts w:ascii="Times New Roman" w:cs="Times New Roman" w:eastAsia="Times New Roman" w:hAnsi="Times New Roman"/>
          <w:b/>
          <w:bCs/>
          <w:color w:val="000000"/>
          <w:sz w:val="26"/>
          <w:szCs w:val="26"/>
        </w:rPr>
        <w:t xml:space="preserve">3.5. Reflexión final del capítulo</w:t>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Un protocolo metodológico no es una camisa de fuerza. Es una guía mínima que permite al investigador avanzar con más velocidad porque no tiene que redescubrir cada vez lo que ya se aprendió la vez anterior.</w:t>
      </w:r>
    </w:p>
    <w:p>
      <w:pPr>
        <w:spacing w:after="80" w:before="0" w:line="276"/>
      </w:pPr>
      <w:r>
        <w:rPr>
          <w:rFonts w:ascii="Times New Roman" w:cs="Times New Roman" w:eastAsia="Times New Roman" w:hAnsi="Times New Roman"/>
          <w:sz w:val="24"/>
          <w:szCs w:val="24"/>
        </w:rPr>
        <w:t xml:space="preserve"/>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Los riesgos que este capítulo describe -- alucinaciones, sesgos, dependencia tecnológica -- son reales y gestionables. Ninguno invalida el uso del sistema. Todos exigen que el investigador los conozca antes de empezar, no después de haberlos cometido.</w:t>
      </w:r>
    </w:p>
    <w:p>
      <w:pPr>
        <w:spacing w:after="80" w:before="0" w:line="276"/>
      </w:pPr>
      <w:r>
        <w:rPr>
          <w:rFonts w:ascii="Times New Roman" w:cs="Times New Roman" w:eastAsia="Times New Roman" w:hAnsi="Times New Roman"/>
          <w:sz w:val="24"/>
          <w:szCs w:val="24"/>
        </w:rPr>
        <w:t xml:space="preserve"/>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La validación científica no es un paso final que se agrega al final del proceso. Es una actitud que el investigador mantiene durante todo el proceso: verificando, cuestionando, exigiendo evidencia donde el sistema ofrece plausibilidad. Esa actitud es lo que distingue al investigador que usa IA del investigador que es usado por ella.</w:t>
      </w:r>
    </w:p>
    <w:p>
      <w:pPr>
        <w:spacing w:after="240" w:before="0" w:line="276"/>
      </w:pPr>
      <w:r>
        <w:rPr>
          <w:rFonts w:ascii="Times New Roman" w:cs="Times New Roman" w:eastAsia="Times New Roman" w:hAnsi="Times New Roman"/>
          <w:sz w:val="24"/>
          <w:szCs w:val="24"/>
        </w:rPr>
        <w:t xml:space="preserve"/>
      </w:r>
    </w:p>
    <w:p>
      <w:pPr>
        <w:spacing w:after="120" w:before="240" w:line="276"/>
        <w:jc w:val="left"/>
      </w:pPr>
      <w:r>
        <w:rPr>
          <w:rFonts w:ascii="Times New Roman" w:cs="Times New Roman" w:eastAsia="Times New Roman" w:hAnsi="Times New Roman"/>
          <w:b/>
          <w:bCs/>
          <w:color w:val="000000"/>
          <w:sz w:val="24"/>
          <w:szCs w:val="24"/>
        </w:rPr>
        <w:t xml:space="preserve">Referencias del capítulo</w:t>
      </w:r>
    </w:p>
    <w:p>
      <w:pPr>
        <w:spacing w:after="60" w:before="0" w:line="276"/>
      </w:pPr>
      <w:r>
        <w:rPr>
          <w:rFonts w:ascii="Times New Roman" w:cs="Times New Roman" w:eastAsia="Times New Roman" w:hAnsi="Times New Roman"/>
          <w:sz w:val="24"/>
          <w:szCs w:val="24"/>
        </w:rPr>
        <w:t xml:space="preserve"/>
      </w:r>
    </w:p>
    <w:p>
      <w:pPr>
        <w:spacing w:after="100" w:before="0" w:line="276"/>
        <w:ind w:left="720" w:hanging="720"/>
        <w:jc w:val="both"/>
      </w:pPr>
      <w:r>
        <w:rPr>
          <w:rFonts w:ascii="Times New Roman" w:cs="Times New Roman" w:eastAsia="Times New Roman" w:hAnsi="Times New Roman"/>
          <w:sz w:val="22"/>
          <w:szCs w:val="22"/>
        </w:rPr>
        <w:t xml:space="preserve">Anthropic (2026). Claude: AI assistant (claude-sonnet-4-6). Anthropic PBC.</w:t>
      </w:r>
    </w:p>
    <w:p>
      <w:pPr>
        <w:spacing w:after="100" w:before="0" w:line="276"/>
        <w:ind w:left="720" w:hanging="720"/>
        <w:jc w:val="both"/>
      </w:pPr>
      <w:r>
        <w:rPr>
          <w:rFonts w:ascii="Times New Roman" w:cs="Times New Roman" w:eastAsia="Times New Roman" w:hAnsi="Times New Roman"/>
          <w:sz w:val="22"/>
          <w:szCs w:val="22"/>
        </w:rPr>
        <w:t xml:space="preserve">ComexPerú (2026). Conectividad y brecha digital en regiones del Perú: Informe 2025-2026. Sociedad de Comercio Exterior del Perú.</w:t>
      </w:r>
    </w:p>
    <w:p>
      <w:pPr>
        <w:spacing w:after="100" w:before="0" w:line="276"/>
        <w:ind w:left="720" w:hanging="720"/>
        <w:jc w:val="both"/>
      </w:pPr>
      <w:r>
        <w:rPr>
          <w:rFonts w:ascii="Times New Roman" w:cs="Times New Roman" w:eastAsia="Times New Roman" w:hAnsi="Times New Roman"/>
          <w:sz w:val="22"/>
          <w:szCs w:val="22"/>
        </w:rPr>
        <w:t xml:space="preserve">Luckin, R. (2018). Machine learning and human intelligence: The future of education for the 21st century. UCL Institute of Education Press.</w:t>
      </w:r>
    </w:p>
    <w:p>
      <w:pPr>
        <w:spacing w:after="100" w:before="0" w:line="276"/>
        <w:ind w:left="720" w:hanging="720"/>
        <w:jc w:val="both"/>
      </w:pPr>
      <w:r>
        <w:rPr>
          <w:rFonts w:ascii="Times New Roman" w:cs="Times New Roman" w:eastAsia="Times New Roman" w:hAnsi="Times New Roman"/>
          <w:sz w:val="22"/>
          <w:szCs w:val="22"/>
        </w:rPr>
        <w:t xml:space="preserve">Raissi, M., Perdikaris, P. y Karniadakis, G. E. (2019). Physics-informed neural networks: A deep learning framework for solving forward and inverse problems. Journal of Computational Physics, 378, 686-707. https://doi.org/10.1016/j.jcp.2018.10.045</w:t>
      </w:r>
    </w:p>
    <w:p>
      <w:pPr>
        <w:spacing w:after="100" w:before="0" w:line="276"/>
        <w:ind w:left="720" w:hanging="720"/>
        <w:jc w:val="both"/>
      </w:pPr>
      <w:r>
        <w:rPr>
          <w:rFonts w:ascii="Times New Roman" w:cs="Times New Roman" w:eastAsia="Times New Roman" w:hAnsi="Times New Roman"/>
          <w:sz w:val="22"/>
          <w:szCs w:val="22"/>
        </w:rPr>
        <w:t xml:space="preserve">Zawacki-Richter, O., Marín, V. I., Bond, M. y Gouverneur, F. (2019). Systematic review of research on artificial intelligence applications in higher education. International Journal of Educational Technology in Higher Education, 16, 39. https://doi.org/10.1186/s41239-019-0171-0</w:t>
      </w:r>
    </w:p>
    <w:p>
      <w:pPr>
        <w:spacing w:after="320" w:before="0" w:line="276"/>
      </w:pPr>
      <w:r>
        <w:rPr>
          <w:rFonts w:ascii="Times New Roman" w:cs="Times New Roman" w:eastAsia="Times New Roman" w:hAnsi="Times New Roman"/>
          <w:sz w:val="24"/>
          <w:szCs w:val="24"/>
        </w:rPr>
        <w:t xml:space="preserve"/>
      </w:r>
    </w:p>
    <w:p>
      <w:pPr>
        <w:pBdr>
          <w:top w:val="single" w:color="1A2F4A" w:sz="4"/>
          <w:bottom w:val="single" w:color="1A2F4A" w:sz="4"/>
          <w:left w:val="single" w:color="1A2F4A" w:sz="6"/>
          <w:right w:val="single" w:color="1A2F4A" w:sz="6"/>
        </w:pBdr>
        <w:spacing w:after="200" w:before="120" w:line="276"/>
        <w:ind w:left="720" w:right="720"/>
        <w:jc w:val="both"/>
      </w:pPr>
      <w:r>
        <w:rPr>
          <w:rFonts w:ascii="Times New Roman" w:cs="Times New Roman" w:eastAsia="Times New Roman" w:hAnsi="Times New Roman"/>
          <w:i/>
          <w:iCs/>
          <w:color w:val="1A2F4A"/>
          <w:sz w:val="22"/>
          <w:szCs w:val="22"/>
        </w:rPr>
        <w:t xml:space="preserve">Fin del Capítulo 3.
El Capítulo 4 desarrollará: El sistema como revisor académico — de generador a auditor.
Espero sus observaciones para continuar.</w:t>
      </w:r>
    </w:p>
    <w:p>
      <w:r>
        <w:br w:type="page"/>
      </w:r>
    </w:p>
    <w:p>
      <w:pPr>
        <w:spacing w:after="200" w:before="400" w:line="276"/>
        <w:jc w:val="left"/>
      </w:pPr>
      <w:r>
        <w:rPr>
          <w:rFonts w:ascii="Times New Roman" w:cs="Times New Roman" w:eastAsia="Times New Roman" w:hAnsi="Times New Roman"/>
          <w:b/>
          <w:bCs/>
          <w:color w:val="000000"/>
          <w:sz w:val="28"/>
          <w:szCs w:val="28"/>
        </w:rPr>
        <w:t xml:space="preserve">Capítulo 4</w:t>
      </w:r>
    </w:p>
    <w:p>
      <w:pPr>
        <w:spacing w:after="240" w:before="0" w:line="276"/>
        <w:jc w:val="left"/>
      </w:pPr>
      <w:r>
        <w:rPr>
          <w:rFonts w:ascii="Times New Roman" w:cs="Times New Roman" w:eastAsia="Times New Roman" w:hAnsi="Times New Roman"/>
          <w:b/>
          <w:bCs/>
          <w:color w:val="1A2F4A"/>
          <w:sz w:val="32"/>
          <w:szCs w:val="32"/>
        </w:rPr>
        <w:t xml:space="preserve">El sistema como revisor académico: de generador a auditor</w:t>
      </w:r>
    </w:p>
    <w:p>
      <w:pPr>
        <w:pBdr>
          <w:top w:val="single" w:color="1A2F4A" w:sz="4"/>
          <w:bottom w:val="single" w:color="1A2F4A" w:sz="4"/>
          <w:left w:val="single" w:color="1A2F4A" w:sz="6"/>
          <w:right w:val="single" w:color="1A2F4A" w:sz="6"/>
        </w:pBdr>
        <w:spacing w:after="200" w:before="120" w:line="276"/>
        <w:ind w:left="720" w:right="720"/>
        <w:jc w:val="both"/>
      </w:pPr>
      <w:r>
        <w:rPr>
          <w:rFonts w:ascii="Times New Roman" w:cs="Times New Roman" w:eastAsia="Times New Roman" w:hAnsi="Times New Roman"/>
          <w:i/>
          <w:iCs/>
          <w:color w:val="1A2F4A"/>
          <w:sz w:val="22"/>
          <w:szCs w:val="22"/>
        </w:rPr>
        <w:t xml:space="preserve">«El verdadero valor de este sistema no reside únicamente en su capacidad de generar artículos científicos, sino también en su potencial como revisor académico.»
Manuel J. Sotomayor-Fernández, Prefacio</w:t>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Hay un momento en el proceso de construir SciAgent en que algo cambia de manera silenciosa pero definitiva. Al principio, la pregunta era: {&lt;}cómo puedo usar la IA para producir artículos? Esa pregunta parecía suficiente. Pero a medida que el sistema evolucionaba -- a medida que los agentes aprendieron a revisarse entre sí, a detectar inconsistencias, a emitir dictámenes con criterio metodológico -- la pregunta se transformó: {&lt;}cómo puedo usar la IA para revisar lo que ya existe?</w:t>
      </w:r>
    </w:p>
    <w:p>
      <w:pPr>
        <w:spacing w:after="80" w:before="0" w:line="276"/>
      </w:pPr>
      <w:r>
        <w:rPr>
          <w:rFonts w:ascii="Times New Roman" w:cs="Times New Roman" w:eastAsia="Times New Roman" w:hAnsi="Times New Roman"/>
          <w:sz w:val="24"/>
          <w:szCs w:val="24"/>
        </w:rPr>
        <w:t xml:space="preserve"/>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Esa segunda pregunta es más poderosa que la primera. Porque el mundo académico no tiene deficit de textos: tiene deficit de revisión rigurosa. Hay más artículos publicados cada año de los que cualquier investigador puede leer. Hay más tesis defendidas de las que cualquier asesor puede revisar con la profundidad que merece. Y hay más informes institucionales acumulados de los que cualquier gestor público puede analizar. La IA como revisora no compite con nadie -- llena un vacío que la academia latinoamericana no puede cubrir con sus recursos actuales.</w:t>
      </w:r>
    </w:p>
    <w:p>
      <w:pPr>
        <w:spacing w:after="160" w:before="0" w:line="276"/>
      </w:pPr>
      <w:r>
        <w:rPr>
          <w:rFonts w:ascii="Times New Roman" w:cs="Times New Roman" w:eastAsia="Times New Roman" w:hAnsi="Times New Roman"/>
          <w:sz w:val="24"/>
          <w:szCs w:val="24"/>
        </w:rPr>
        <w:t xml:space="preserve"/>
      </w:r>
    </w:p>
    <w:p>
      <w:pPr>
        <w:spacing w:after="160" w:before="320" w:line="276"/>
        <w:jc w:val="left"/>
      </w:pPr>
      <w:r>
        <w:rPr>
          <w:rFonts w:ascii="Times New Roman" w:cs="Times New Roman" w:eastAsia="Times New Roman" w:hAnsi="Times New Roman"/>
          <w:b/>
          <w:bCs/>
          <w:color w:val="000000"/>
          <w:sz w:val="26"/>
          <w:szCs w:val="26"/>
        </w:rPr>
        <w:t xml:space="preserve">4.1. De generador a auditor: la evolución del propósito</w:t>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SciAgent nació como sistema de producción. Pero tres de sus agentes -- el Revisor (Agente 5), el Evaluador de Calidad (Agente 9) y el Detector de Vacíos (Agente 10) -- hacen algo diferente a los demás: no producen, auditan.</w:t>
      </w:r>
    </w:p>
    <w:p>
      <w:pPr>
        <w:spacing w:after="80" w:before="0" w:line="276"/>
      </w:pPr>
      <w:r>
        <w:rPr>
          <w:rFonts w:ascii="Times New Roman" w:cs="Times New Roman" w:eastAsia="Times New Roman" w:hAnsi="Times New Roman"/>
          <w:sz w:val="24"/>
          <w:szCs w:val="24"/>
        </w:rPr>
        <w:t xml:space="preserve"/>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El Agente 5 actúa como árbitro interno. Lee el manuscrito completo y emite un veredicto con cuatro componentes: puntuación general de 0 a 10, fortalezas documentadas, debilidades identificadas y recomendación final -- aceptar, revisar menor, revisar mayor o rechazar. Ese veredicto no es decorativo: si el artículo recibe la recomendación de «revisar mayor», el pipeline se detiene y espera instrucción del investigador antes de continuar.</w:t>
      </w:r>
    </w:p>
    <w:p>
      <w:pPr>
        <w:spacing w:after="80" w:before="0" w:line="276"/>
      </w:pPr>
      <w:r>
        <w:rPr>
          <w:rFonts w:ascii="Times New Roman" w:cs="Times New Roman" w:eastAsia="Times New Roman" w:hAnsi="Times New Roman"/>
          <w:sz w:val="24"/>
          <w:szCs w:val="24"/>
        </w:rPr>
        <w:t xml:space="preserve"/>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El Agente 9 va más lejos. Asigna el nivel de evidencia del estudio -- del Nivel I (metáanálisis) al Nivel VII (opinión de expertos) -- detecta los cuatro tipos clásicos de sesgo en investigación (selección, medición, confusión y publicación), y ejecuta las cinco verificaciones del supervisor del SMID-MA: {&lt;}toda afirmación tiene evidencia? {&lt;}Toda evidencia posee fuente verificable? {&lt;}Existe trazabilidad documental? {&lt;}Hay contradicciones no explicadas? {&lt;}El texto aporta análisis y no solo descripción? El certificado que emite al final -- APROBADO, APROBADO CON OBSERVACIONES o RECHAZADO -- es exactamente lo que un editor académico serio haría antes de enviar un manuscrito a revisión por pares.</w:t>
      </w:r>
    </w:p>
    <w:p>
      <w:pPr>
        <w:spacing w:after="80" w:before="0" w:line="276"/>
      </w:pPr>
      <w:r>
        <w:rPr>
          <w:rFonts w:ascii="Times New Roman" w:cs="Times New Roman" w:eastAsia="Times New Roman" w:hAnsi="Times New Roman"/>
          <w:sz w:val="24"/>
          <w:szCs w:val="24"/>
        </w:rPr>
        <w:t xml:space="preserve"/>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El Agente 10, por su parte, hace algo que ningún revisor humano hace sistemáticamente: identifica los vacíos científicos que el artículo abre, clasifica por tipo -- teórico, conceptual, metodológico, geográfico, poblacional, temporal, estadístico -- y genera el párrafo de agenda futura listo para insertar. Ese párrafo no es un cierre protocolario: es la contribución más honesta que un artículo puede hacer a la comunidad científica, porque nombra con precisión lo que no pudo resolver.</w:t>
      </w:r>
    </w:p>
    <w:p>
      <w:pPr>
        <w:spacing w:after="160" w:before="0" w:line="276"/>
      </w:pPr>
      <w:r>
        <w:rPr>
          <w:rFonts w:ascii="Times New Roman" w:cs="Times New Roman" w:eastAsia="Times New Roman" w:hAnsi="Times New Roman"/>
          <w:sz w:val="24"/>
          <w:szCs w:val="24"/>
        </w:rPr>
        <w:t xml:space="preserve"/>
      </w:r>
    </w:p>
    <w:p>
      <w:pPr>
        <w:spacing w:after="160" w:before="320" w:line="276"/>
        <w:jc w:val="left"/>
      </w:pPr>
      <w:r>
        <w:rPr>
          <w:rFonts w:ascii="Times New Roman" w:cs="Times New Roman" w:eastAsia="Times New Roman" w:hAnsi="Times New Roman"/>
          <w:b/>
          <w:bCs/>
          <w:color w:val="000000"/>
          <w:sz w:val="26"/>
          <w:szCs w:val="26"/>
        </w:rPr>
        <w:t xml:space="preserve">4.2. Qué puede auditar el sistema</w:t>
      </w:r>
    </w:p>
    <w:p>
      <w:pPr>
        <w:spacing w:after="120" w:before="240" w:line="276"/>
        <w:jc w:val="left"/>
      </w:pPr>
      <w:r>
        <w:rPr>
          <w:rFonts w:ascii="Times New Roman" w:cs="Times New Roman" w:eastAsia="Times New Roman" w:hAnsi="Times New Roman"/>
          <w:b/>
          <w:bCs/>
          <w:color w:val="000000"/>
          <w:sz w:val="24"/>
          <w:szCs w:val="24"/>
        </w:rPr>
        <w:t xml:space="preserve">Tesis de grado y posgrado</w:t>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La aplicación más inmediata del sistema como revisor es la asesoría de tesis. Como docente universitario que asesora tesis de grado y posgrado en UTP Piura, el tiempo de revisión es el cuello de botella más frecuente: entre las clases, la investigación propia, las consultorías y las obligaciones administrativas, el tiempo disponible para revisar un capítulo de tesis con la profundidad que merece es siempre menor al que el proceso requiere.</w:t>
      </w:r>
    </w:p>
    <w:p>
      <w:pPr>
        <w:spacing w:after="80" w:before="0" w:line="276"/>
      </w:pPr>
      <w:r>
        <w:rPr>
          <w:rFonts w:ascii="Times New Roman" w:cs="Times New Roman" w:eastAsia="Times New Roman" w:hAnsi="Times New Roman"/>
          <w:sz w:val="24"/>
          <w:szCs w:val="24"/>
        </w:rPr>
        <w:t xml:space="preserve"/>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El sistema no reemplaza la asesoría -- la prepara. Un asesor que llega a la reunión con el diagnóstico del Agente 9 ya sabe cuál es el nivel de evidencia del estudio, dónde están los sesgos, qué secciones son débiles y qué afirmaciones carecen de respaldo. La reunión puede entonces centrarse en lo que realmente importa: las decisiones metodológicas sustantivas y el argumento disciplinario, no en la lista de verificación formal que el sistema ya completó.</w:t>
      </w:r>
    </w:p>
    <w:p>
      <w:pPr>
        <w:spacing w:after="80" w:before="0" w:line="276"/>
      </w:pPr>
      <w:r>
        <w:rPr>
          <w:rFonts w:ascii="Times New Roman" w:cs="Times New Roman" w:eastAsia="Times New Roman" w:hAnsi="Times New Roman"/>
          <w:sz w:val="24"/>
          <w:szCs w:val="24"/>
        </w:rPr>
        <w:t xml:space="preserve"/>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En la práctica, el proceso funciona así: el tesista envía su capítulo en formato de texto. El asesor lo introduce en el pipeline de revisión -- activando los agentes 5, 9 y 10 -- y recibe en minutos un diagnóstico estructurado. Ese diagnóstico se convierte en la agenda de la reunión de asesoría. El tiempo de revisión se reduce; la profundidad del análisis aumenta.</w:t>
      </w:r>
    </w:p>
    <w:p>
      <w:pPr>
        <w:spacing w:after="80" w:before="0" w:line="276"/>
      </w:pPr>
      <w:r>
        <w:rPr>
          <w:rFonts w:ascii="Times New Roman" w:cs="Times New Roman" w:eastAsia="Times New Roman" w:hAnsi="Times New Roman"/>
          <w:sz w:val="24"/>
          <w:szCs w:val="24"/>
        </w:rPr>
        <w:t xml:space="preserve"/>
      </w:r>
    </w:p>
    <w:p>
      <w:pPr>
        <w:spacing w:after="120" w:before="240" w:line="276"/>
        <w:jc w:val="left"/>
      </w:pPr>
      <w:r>
        <w:rPr>
          <w:rFonts w:ascii="Times New Roman" w:cs="Times New Roman" w:eastAsia="Times New Roman" w:hAnsi="Times New Roman"/>
          <w:b/>
          <w:bCs/>
          <w:color w:val="000000"/>
          <w:sz w:val="24"/>
          <w:szCs w:val="24"/>
        </w:rPr>
        <w:t xml:space="preserve">Artículos propios antes del envío</w:t>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El segundo uso del sistema como revisor es la verificación de manuscritos propios antes del envío a revista. El flujo natural es: el investigador produce el artículo -- con o sin SciAgent -- y antes de enviarlo lo pasa por los agentes de revisión. El Agente 11 (Evaluador Scopus/WoS) emite el dictamen editorial con la revista objetivo, el cuartil y la estrategia de carta de presentación.</w:t>
      </w:r>
    </w:p>
    <w:p>
      <w:pPr>
        <w:spacing w:after="80" w:before="0" w:line="276"/>
      </w:pPr>
      <w:r>
        <w:rPr>
          <w:rFonts w:ascii="Times New Roman" w:cs="Times New Roman" w:eastAsia="Times New Roman" w:hAnsi="Times New Roman"/>
          <w:sz w:val="24"/>
          <w:szCs w:val="24"/>
        </w:rPr>
        <w:t xml:space="preserve"/>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Ese dictamen tiene valor concreto porque reduce el tiempo de decisión editorial. En lugar de enviar el artículo a una revista y esperar tres meses para recibir un rechazo que habría podido anticiparse, el investigador puede ajustar el manuscrito antes del envío en función del diagnóstico del sistema. No es garantía de aceptación -- pero sí reduce los errores más frecuentes que producen rechazos innecesarios.</w:t>
      </w:r>
    </w:p>
    <w:p>
      <w:pPr>
        <w:spacing w:after="80" w:before="0" w:line="276"/>
      </w:pPr>
      <w:r>
        <w:rPr>
          <w:rFonts w:ascii="Times New Roman" w:cs="Times New Roman" w:eastAsia="Times New Roman" w:hAnsi="Times New Roman"/>
          <w:sz w:val="24"/>
          <w:szCs w:val="24"/>
        </w:rPr>
        <w:t xml:space="preserve"/>
      </w:r>
    </w:p>
    <w:p>
      <w:pPr>
        <w:spacing w:after="120" w:before="240" w:line="276"/>
        <w:jc w:val="left"/>
      </w:pPr>
      <w:r>
        <w:rPr>
          <w:rFonts w:ascii="Times New Roman" w:cs="Times New Roman" w:eastAsia="Times New Roman" w:hAnsi="Times New Roman"/>
          <w:b/>
          <w:bCs/>
          <w:color w:val="000000"/>
          <w:sz w:val="24"/>
          <w:szCs w:val="24"/>
        </w:rPr>
        <w:t xml:space="preserve">Informes institucionales y documentos de política</w:t>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El tercer uso del sistema como revisor es el más amplio y el menos evidente: la auditoría de documentos institucionales. Planes de desarrollo concertado, estudios de diagnóstico territorial, informes de gestión, propuestas técnicas para candidatos a gobiernos regionales -- todos estos documentos tienen en común que son producidos bajo presión de tiempo, con recursos limitados y con equipos que no siempre tienen formación metodológica especializada.</w:t>
      </w:r>
    </w:p>
    <w:p>
      <w:pPr>
        <w:spacing w:after="80" w:before="0" w:line="276"/>
      </w:pPr>
      <w:r>
        <w:rPr>
          <w:rFonts w:ascii="Times New Roman" w:cs="Times New Roman" w:eastAsia="Times New Roman" w:hAnsi="Times New Roman"/>
          <w:sz w:val="24"/>
          <w:szCs w:val="24"/>
        </w:rPr>
        <w:t xml:space="preserve"/>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El sistema puede revisar la coherencia interna de un plan de desarrollo, verificar si los objetivos estratégicos tienen indicadores medibles, detectar si las metas formuladas son consistentes con el diagnóstico situacional, e identificar las brechas entre lo que el documento dice que hará y lo que el presupuesto permite ejecutar. Ese tipo de auditoría no reemplaza al especialista -- requiere que un especialista interprete el diagnóstico -- pero acorta drásticamente el tiempo que ese especialista necesita para hacer su trabajo.</w:t>
      </w:r>
    </w:p>
    <w:p>
      <w:pPr>
        <w:spacing w:after="160" w:before="0" w:line="276"/>
      </w:pPr>
      <w:r>
        <w:rPr>
          <w:rFonts w:ascii="Times New Roman" w:cs="Times New Roman" w:eastAsia="Times New Roman" w:hAnsi="Times New Roman"/>
          <w:sz w:val="24"/>
          <w:szCs w:val="24"/>
        </w:rPr>
        <w:t xml:space="preserve"/>
      </w:r>
    </w:p>
    <w:p>
      <w:pPr>
        <w:spacing w:after="160" w:before="320" w:line="276"/>
        <w:jc w:val="left"/>
      </w:pPr>
      <w:r>
        <w:rPr>
          <w:rFonts w:ascii="Times New Roman" w:cs="Times New Roman" w:eastAsia="Times New Roman" w:hAnsi="Times New Roman"/>
          <w:b/>
          <w:bCs/>
          <w:color w:val="000000"/>
          <w:sz w:val="26"/>
          <w:szCs w:val="26"/>
        </w:rPr>
        <w:t xml:space="preserve">4.3. Los límites del sistema como revisor</w:t>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Sería deshonesto terminar esta sección sin nombrar lo que el sistema no puede hacer como revisor.</w:t>
      </w:r>
    </w:p>
    <w:p>
      <w:pPr>
        <w:spacing w:after="80" w:before="0" w:line="276"/>
      </w:pPr>
      <w:r>
        <w:rPr>
          <w:rFonts w:ascii="Times New Roman" w:cs="Times New Roman" w:eastAsia="Times New Roman" w:hAnsi="Times New Roman"/>
          <w:sz w:val="24"/>
          <w:szCs w:val="24"/>
        </w:rPr>
        <w:t xml:space="preserve"/>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El Agente 9 puede detectar si una afirmación carece de respaldo bibliográfico. No puede determinar si ese respaldo es suficiente -- eso requiere dominio disciplinario. Puede señalar que el nivel de evidencia es IV (correlacional) y que eso limita las conclusiones causales. No puede evaluar si la decisión metodológica de usar ese diseño fue la correcta dado el estado de la literatura -- eso también requiere dominio disciplinario.</w:t>
      </w:r>
    </w:p>
    <w:p>
      <w:pPr>
        <w:spacing w:after="80" w:before="0" w:line="276"/>
      </w:pPr>
      <w:r>
        <w:rPr>
          <w:rFonts w:ascii="Times New Roman" w:cs="Times New Roman" w:eastAsia="Times New Roman" w:hAnsi="Times New Roman"/>
          <w:sz w:val="24"/>
          <w:szCs w:val="24"/>
        </w:rPr>
        <w:t xml:space="preserve"/>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Dicho de otra manera: el sistema puede verificar la estructura del argumento, pero no puede evaluar la calidad del conocimiento que lo sustenta. Esa evaluación sigue siendo trabajo humano. Y es, probablemente, el trabajo más valioso que el investigador hace: decidir si lo que el artículo dice es verdad, relevante y nuevo -- tres preguntas que ningún agente puede responder en lugar suyo.</w:t>
      </w:r>
    </w:p>
    <w:p>
      <w:pPr>
        <w:spacing w:after="80" w:before="0" w:line="276"/>
      </w:pPr>
      <w:r>
        <w:rPr>
          <w:rFonts w:ascii="Times New Roman" w:cs="Times New Roman" w:eastAsia="Times New Roman" w:hAnsi="Times New Roman"/>
          <w:sz w:val="24"/>
          <w:szCs w:val="24"/>
        </w:rPr>
        <w:t xml:space="preserve"/>
      </w:r>
    </w:p>
    <w:p>
      <w:pPr>
        <w:pBdr>
          <w:top w:val="single" w:color="1A2F4A" w:sz="4"/>
          <w:bottom w:val="single" w:color="1A2F4A" w:sz="4"/>
          <w:left w:val="single" w:color="1A2F4A" w:sz="6"/>
          <w:right w:val="single" w:color="1A2F4A" w:sz="6"/>
        </w:pBdr>
        <w:spacing w:after="200" w:before="120" w:line="276"/>
        <w:ind w:left="720" w:right="720"/>
        <w:jc w:val="both"/>
      </w:pPr>
      <w:r>
        <w:rPr>
          <w:rFonts w:ascii="Times New Roman" w:cs="Times New Roman" w:eastAsia="Times New Roman" w:hAnsi="Times New Roman"/>
          <w:i/>
          <w:iCs/>
          <w:color w:val="1A2F4A"/>
          <w:sz w:val="22"/>
          <w:szCs w:val="22"/>
        </w:rPr>
        <w:t xml:space="preserve">«El sistema puede verificar la estructura del argumento. No puede evaluar la calidad del conocimiento que lo sustenta. Esa evaluación sigue siendo trabajo humano.»</w:t>
      </w:r>
    </w:p>
    <w:p>
      <w:pPr>
        <w:spacing w:after="160" w:before="0" w:line="276"/>
      </w:pPr>
      <w:r>
        <w:rPr>
          <w:rFonts w:ascii="Times New Roman" w:cs="Times New Roman" w:eastAsia="Times New Roman" w:hAnsi="Times New Roman"/>
          <w:sz w:val="24"/>
          <w:szCs w:val="24"/>
        </w:rPr>
        <w:t xml:space="preserve"/>
      </w:r>
    </w:p>
    <w:p>
      <w:pPr>
        <w:spacing w:after="160" w:before="320" w:line="276"/>
        <w:jc w:val="left"/>
      </w:pPr>
      <w:r>
        <w:rPr>
          <w:rFonts w:ascii="Times New Roman" w:cs="Times New Roman" w:eastAsia="Times New Roman" w:hAnsi="Times New Roman"/>
          <w:b/>
          <w:bCs/>
          <w:color w:val="000000"/>
          <w:sz w:val="26"/>
          <w:szCs w:val="26"/>
        </w:rPr>
        <w:t xml:space="preserve">4.4. Protocolos de revisión cruzada humano-IA</w:t>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El uso más sofisticado del sistema como revisor combina la auditoría del sistema con la revisión de un colega humano en un protocolo de dos pasos.</w:t>
      </w:r>
    </w:p>
    <w:p>
      <w:pPr>
        <w:spacing w:after="80" w:before="0" w:line="276"/>
      </w:pPr>
      <w:r>
        <w:rPr>
          <w:rFonts w:ascii="Times New Roman" w:cs="Times New Roman" w:eastAsia="Times New Roman" w:hAnsi="Times New Roman"/>
          <w:sz w:val="24"/>
          <w:szCs w:val="24"/>
        </w:rPr>
        <w:t xml:space="preserve"/>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El primer paso es la auditoría del sistema: los agentes 5, 9 y 10 procesan el manuscrito y producen el diagnóstico estructurado. El investigador revisa ese diagnóstico, corrige los problemas identificados y documenta los que decidió no corregir y por qué.</w:t>
      </w:r>
    </w:p>
    <w:p>
      <w:pPr>
        <w:spacing w:after="80" w:before="0" w:line="276"/>
      </w:pPr>
      <w:r>
        <w:rPr>
          <w:rFonts w:ascii="Times New Roman" w:cs="Times New Roman" w:eastAsia="Times New Roman" w:hAnsi="Times New Roman"/>
          <w:sz w:val="24"/>
          <w:szCs w:val="24"/>
        </w:rPr>
        <w:t xml:space="preserve"/>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El segundo paso es la revisión del colega: el manuscrito corregido -- junto con el diagnóstico del sistema y las anotaciones del investigador -- se envía a un par académico del mismo campo disciplinario. El colega no tiene que revisar desde cero: tiene el diagnóstico del sistema como punto de partida, lo que concentra su atención en los aspectos que el sistema no puede evaluar -- la solidez del argumento disciplinario, la relevancia del aporte, la pertinencia del marco teórico.</w:t>
      </w:r>
    </w:p>
    <w:p>
      <w:pPr>
        <w:spacing w:after="80" w:before="0" w:line="276"/>
      </w:pPr>
      <w:r>
        <w:rPr>
          <w:rFonts w:ascii="Times New Roman" w:cs="Times New Roman" w:eastAsia="Times New Roman" w:hAnsi="Times New Roman"/>
          <w:sz w:val="24"/>
          <w:szCs w:val="24"/>
        </w:rPr>
        <w:t xml:space="preserve"/>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Este protocolo de dos pasos tiene tres ventajas concretas. Reduce el tiempo de revisión del colega porque elimina la revisión de los problemas formales que el sistema ya identificó. Mejora la calidad de la revisión porque el colega puede concentrarse en lo que realmente importa. Y produce un registro documental del proceso de revisión que puede presentarse ante un editor como evidencia de rigor metodológico.</w:t>
      </w:r>
    </w:p>
    <w:p>
      <w:pPr>
        <w:spacing w:after="160" w:before="0" w:line="276"/>
      </w:pPr>
      <w:r>
        <w:rPr>
          <w:rFonts w:ascii="Times New Roman" w:cs="Times New Roman" w:eastAsia="Times New Roman" w:hAnsi="Times New Roman"/>
          <w:sz w:val="24"/>
          <w:szCs w:val="24"/>
        </w:rPr>
        <w:t xml:space="preserve"/>
      </w:r>
    </w:p>
    <w:p>
      <w:pPr>
        <w:spacing w:after="160" w:before="320" w:line="276"/>
        <w:jc w:val="left"/>
      </w:pPr>
      <w:r>
        <w:rPr>
          <w:rFonts w:ascii="Times New Roman" w:cs="Times New Roman" w:eastAsia="Times New Roman" w:hAnsi="Times New Roman"/>
          <w:b/>
          <w:bCs/>
          <w:color w:val="000000"/>
          <w:sz w:val="26"/>
          <w:szCs w:val="26"/>
        </w:rPr>
        <w:t xml:space="preserve">4.5. Reflexión final del capítulo</w:t>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Cuando empecé este proyecto, la pregunta era cómo usar la IA para producir. Hoy, después de construir y usar el sistema, la pregunta que me parece más interesante es cómo usar la IA para revisar. No porque producir no importe -- importa. Sino porque la revisión rigurosa es el eslabón más débil de la cadena científica latinoamericana, y es donde el sistema puede hacer su aporte más valioso.</w:t>
      </w:r>
    </w:p>
    <w:p>
      <w:pPr>
        <w:spacing w:after="80" w:before="0" w:line="276"/>
      </w:pPr>
      <w:r>
        <w:rPr>
          <w:rFonts w:ascii="Times New Roman" w:cs="Times New Roman" w:eastAsia="Times New Roman" w:hAnsi="Times New Roman"/>
          <w:sz w:val="24"/>
          <w:szCs w:val="24"/>
        </w:rPr>
        <w:t xml:space="preserve"/>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Un sistema que produce artículos es una herramienta de productividad. Un sistema que audita artículos es una herramienta de calidad. La diferencia no es menor: la productividad sin calidad produce más de lo mismo más rápido. La calidad produce menos de lo mejor con más criterio. La academia latinoamericana necesita las dos cosas, pero si tuviera que elegir, necesita más lo segundo.</w:t>
      </w:r>
    </w:p>
    <w:p>
      <w:pPr>
        <w:spacing w:after="240" w:before="0" w:line="276"/>
      </w:pPr>
      <w:r>
        <w:rPr>
          <w:rFonts w:ascii="Times New Roman" w:cs="Times New Roman" w:eastAsia="Times New Roman" w:hAnsi="Times New Roman"/>
          <w:sz w:val="24"/>
          <w:szCs w:val="24"/>
        </w:rPr>
        <w:t xml:space="preserve"/>
      </w:r>
    </w:p>
    <w:p>
      <w:pPr>
        <w:spacing w:after="120" w:before="240" w:line="276"/>
        <w:jc w:val="left"/>
      </w:pPr>
      <w:r>
        <w:rPr>
          <w:rFonts w:ascii="Times New Roman" w:cs="Times New Roman" w:eastAsia="Times New Roman" w:hAnsi="Times New Roman"/>
          <w:b/>
          <w:bCs/>
          <w:color w:val="000000"/>
          <w:sz w:val="24"/>
          <w:szCs w:val="24"/>
        </w:rPr>
        <w:t xml:space="preserve">Referencias del capítulo</w:t>
      </w:r>
    </w:p>
    <w:p>
      <w:pPr>
        <w:spacing w:after="60" w:before="0" w:line="276"/>
      </w:pPr>
      <w:r>
        <w:rPr>
          <w:rFonts w:ascii="Times New Roman" w:cs="Times New Roman" w:eastAsia="Times New Roman" w:hAnsi="Times New Roman"/>
          <w:sz w:val="24"/>
          <w:szCs w:val="24"/>
        </w:rPr>
        <w:t xml:space="preserve"/>
      </w:r>
    </w:p>
    <w:p>
      <w:pPr>
        <w:spacing w:after="100" w:before="0" w:line="276"/>
        <w:ind w:left="720" w:hanging="720"/>
        <w:jc w:val="both"/>
      </w:pPr>
      <w:r>
        <w:rPr>
          <w:rFonts w:ascii="Times New Roman" w:cs="Times New Roman" w:eastAsia="Times New Roman" w:hAnsi="Times New Roman"/>
          <w:sz w:val="22"/>
          <w:szCs w:val="22"/>
        </w:rPr>
        <w:t xml:space="preserve">Anthropic (2026). Claude: AI assistant (claude-sonnet-4-6). Anthropic PBC.</w:t>
      </w:r>
    </w:p>
    <w:p>
      <w:pPr>
        <w:spacing w:after="100" w:before="0" w:line="276"/>
        <w:ind w:left="720" w:hanging="720"/>
        <w:jc w:val="both"/>
      </w:pPr>
      <w:r>
        <w:rPr>
          <w:rFonts w:ascii="Times New Roman" w:cs="Times New Roman" w:eastAsia="Times New Roman" w:hAnsi="Times New Roman"/>
          <w:sz w:val="22"/>
          <w:szCs w:val="22"/>
        </w:rPr>
        <w:t xml:space="preserve">Garrison, D. R., Anderson, T. y Archer, W. (2000). Critical inquiry in a text-based environment: Computer conferencing in higher education. The Internet and Higher Education, 2(2-3), 87-105.</w:t>
      </w:r>
    </w:p>
    <w:p>
      <w:pPr>
        <w:spacing w:after="100" w:before="0" w:line="276"/>
        <w:ind w:left="720" w:hanging="720"/>
        <w:jc w:val="both"/>
      </w:pPr>
      <w:r>
        <w:rPr>
          <w:rFonts w:ascii="Times New Roman" w:cs="Times New Roman" w:eastAsia="Times New Roman" w:hAnsi="Times New Roman"/>
          <w:sz w:val="22"/>
          <w:szCs w:val="22"/>
        </w:rPr>
        <w:t xml:space="preserve">Luckin, R. (2018). Machine learning and human intelligence: The future of education for the 21st century. UCL Institute of Education Press.</w:t>
      </w:r>
    </w:p>
    <w:p>
      <w:pPr>
        <w:spacing w:after="100" w:before="0" w:line="276"/>
        <w:ind w:left="720" w:hanging="720"/>
        <w:jc w:val="both"/>
      </w:pPr>
      <w:r>
        <w:rPr>
          <w:rFonts w:ascii="Times New Roman" w:cs="Times New Roman" w:eastAsia="Times New Roman" w:hAnsi="Times New Roman"/>
          <w:sz w:val="22"/>
          <w:szCs w:val="22"/>
        </w:rPr>
        <w:t xml:space="preserve">Rojas, C. y Chiappe, A. (2024). Ecosistemas digitales e inteligencia artificial en la educación superior latinoamericana. Edutec. Revista Electrónica de Tecnología Educativa, 87, 1-19.</w:t>
      </w:r>
    </w:p>
    <w:p>
      <w:pPr>
        <w:spacing w:after="100" w:before="0" w:line="276"/>
        <w:ind w:left="720" w:hanging="720"/>
        <w:jc w:val="both"/>
      </w:pPr>
      <w:r>
        <w:rPr>
          <w:rFonts w:ascii="Times New Roman" w:cs="Times New Roman" w:eastAsia="Times New Roman" w:hAnsi="Times New Roman"/>
          <w:sz w:val="22"/>
          <w:szCs w:val="22"/>
        </w:rPr>
        <w:t xml:space="preserve">Zawacki-Richter, O., Marín, V. I., Bond, M. y Gouverneur, F. (2019). Systematic review of research on artificial intelligence applications in higher education. International Journal of Educational Technology in Higher Education, 16, 39. https://doi.org/10.1186/s41239-019-0171-0</w:t>
      </w:r>
    </w:p>
    <w:p>
      <w:pPr>
        <w:spacing w:after="320" w:before="0" w:line="276"/>
      </w:pPr>
      <w:r>
        <w:rPr>
          <w:rFonts w:ascii="Times New Roman" w:cs="Times New Roman" w:eastAsia="Times New Roman" w:hAnsi="Times New Roman"/>
          <w:sz w:val="24"/>
          <w:szCs w:val="24"/>
        </w:rPr>
        <w:t xml:space="preserve"/>
      </w:r>
    </w:p>
    <w:p>
      <w:pPr>
        <w:pBdr>
          <w:top w:val="single" w:color="1A2F4A" w:sz="4"/>
          <w:bottom w:val="single" w:color="1A2F4A" w:sz="4"/>
          <w:left w:val="single" w:color="1A2F4A" w:sz="6"/>
          <w:right w:val="single" w:color="1A2F4A" w:sz="6"/>
        </w:pBdr>
        <w:spacing w:after="200" w:before="120" w:line="276"/>
        <w:ind w:left="720" w:right="720"/>
        <w:jc w:val="both"/>
      </w:pPr>
      <w:r>
        <w:rPr>
          <w:rFonts w:ascii="Times New Roman" w:cs="Times New Roman" w:eastAsia="Times New Roman" w:hAnsi="Times New Roman"/>
          <w:i/>
          <w:iCs/>
          <w:color w:val="1A2F4A"/>
          <w:sz w:val="22"/>
          <w:szCs w:val="22"/>
        </w:rPr>
        <w:t xml:space="preserve">Fin del Capítulo 4.
El Capítulo 5 desarrollará: Marco crítico y prospectivo — ética, desigualdad y estándares internacionales.
Espero sus observaciones para continuar.</w:t>
      </w:r>
    </w:p>
    <w:p>
      <w:r>
        <w:br w:type="page"/>
      </w:r>
    </w:p>
    <w:p>
      <w:pPr>
        <w:spacing w:after="200" w:before="400" w:line="276"/>
        <w:jc w:val="left"/>
      </w:pPr>
      <w:r>
        <w:rPr>
          <w:rFonts w:ascii="Times New Roman" w:cs="Times New Roman" w:eastAsia="Times New Roman" w:hAnsi="Times New Roman"/>
          <w:b/>
          <w:bCs/>
          <w:color w:val="000000"/>
          <w:sz w:val="28"/>
          <w:szCs w:val="28"/>
        </w:rPr>
        <w:t xml:space="preserve">Capítulo 5</w:t>
      </w:r>
    </w:p>
    <w:p>
      <w:pPr>
        <w:spacing w:after="240" w:before="0" w:line="276"/>
        <w:jc w:val="left"/>
      </w:pPr>
      <w:r>
        <w:rPr>
          <w:rFonts w:ascii="Times New Roman" w:cs="Times New Roman" w:eastAsia="Times New Roman" w:hAnsi="Times New Roman"/>
          <w:b/>
          <w:bCs/>
          <w:color w:val="1A2F4A"/>
          <w:sz w:val="32"/>
          <w:szCs w:val="32"/>
        </w:rPr>
        <w:t xml:space="preserve">Marco crítico y prospectivo: ética, desigualdad y nuevos paradigmas académicos</w:t>
      </w:r>
    </w:p>
    <w:p>
      <w:pPr>
        <w:pBdr>
          <w:top w:val="single" w:color="1A2F4A" w:sz="4"/>
          <w:bottom w:val="single" w:color="1A2F4A" w:sz="4"/>
          <w:left w:val="single" w:color="1A2F4A" w:sz="6"/>
          <w:right w:val="single" w:color="1A2F4A" w:sz="6"/>
        </w:pBdr>
        <w:spacing w:after="200" w:before="120" w:line="276"/>
        <w:ind w:left="720" w:right="720"/>
        <w:jc w:val="both"/>
      </w:pPr>
      <w:r>
        <w:rPr>
          <w:rFonts w:ascii="Times New Roman" w:cs="Times New Roman" w:eastAsia="Times New Roman" w:hAnsi="Times New Roman"/>
          <w:i/>
          <w:iCs/>
          <w:color w:val="1A2F4A"/>
          <w:sz w:val="22"/>
          <w:szCs w:val="22"/>
        </w:rPr>
        <w:t xml:space="preserve">«Usar IA bien exige más del investigador, no menos. Más conocimiento disciplinario. Más criterio crítico. Más honestidad sobre los límites.»
Manuel J. Sotomayor-Fernández</w:t>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Los cuatro capítulos anteriores miraron hacia adentro: el proceso de construir SciAgent, los errores cometidos, el protocolo propuesto y las posibilidades del sistema como revisor. Este capítulo mira hacia afuera. Hacia las preguntas que este proceso despertó y que ninguna herramienta puede responder por sí sola: {&lt;}qué significa para la academia latinoamericana que sistemas como SciAgent comiencen a proliferar? {&lt;}Quién se beneficia y quién queda excluido? {&lt;}Cómo cambia la noción de authoría, de rigor y de responsabilidad intelectual cuando el investigador no es el único que produce el texto?</w:t>
      </w:r>
    </w:p>
    <w:p>
      <w:pPr>
        <w:spacing w:after="80" w:before="0" w:line="276"/>
      </w:pPr>
      <w:r>
        <w:rPr>
          <w:rFonts w:ascii="Times New Roman" w:cs="Times New Roman" w:eastAsia="Times New Roman" w:hAnsi="Times New Roman"/>
          <w:sz w:val="24"/>
          <w:szCs w:val="24"/>
        </w:rPr>
        <w:t xml:space="preserve"/>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Estas preguntas no tienen respuestas fáciles. Pero no tenerlas no es excusa para no formularlas. Un libro que narra una experiencia con IA sin reflexionar críticamente sobre sus implicaciones más amplias no cumple su responsabilidad académica. Este capítulo intenta cumplirla.</w:t>
      </w:r>
    </w:p>
    <w:p>
      <w:pPr>
        <w:spacing w:after="160" w:before="0" w:line="276"/>
      </w:pPr>
      <w:r>
        <w:rPr>
          <w:rFonts w:ascii="Times New Roman" w:cs="Times New Roman" w:eastAsia="Times New Roman" w:hAnsi="Times New Roman"/>
          <w:sz w:val="24"/>
          <w:szCs w:val="24"/>
        </w:rPr>
        <w:t xml:space="preserve"/>
      </w:r>
    </w:p>
    <w:p>
      <w:pPr>
        <w:spacing w:after="160" w:before="320" w:line="276"/>
        <w:jc w:val="left"/>
      </w:pPr>
      <w:r>
        <w:rPr>
          <w:rFonts w:ascii="Times New Roman" w:cs="Times New Roman" w:eastAsia="Times New Roman" w:hAnsi="Times New Roman"/>
          <w:b/>
          <w:bCs/>
          <w:color w:val="000000"/>
          <w:sz w:val="26"/>
          <w:szCs w:val="26"/>
        </w:rPr>
        <w:t xml:space="preserve">5.1. La authoría compartida: un nuevo paradigma que la academia no ha resuelto</w:t>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La pregunta sobre quién escribe cuando un sistema de IA participa en la producción de un texto académico es, probablemente, la más urgente que enfrenta la academia en este momento. Y no tiene respuesta establecida, porque el fenómeno es demasiado nuevo y demasiado heterogéneo como para que una sola definición lo capture.</w:t>
      </w:r>
    </w:p>
    <w:p>
      <w:pPr>
        <w:spacing w:after="80" w:before="0" w:line="276"/>
      </w:pPr>
      <w:r>
        <w:rPr>
          <w:rFonts w:ascii="Times New Roman" w:cs="Times New Roman" w:eastAsia="Times New Roman" w:hAnsi="Times New Roman"/>
          <w:sz w:val="24"/>
          <w:szCs w:val="24"/>
        </w:rPr>
        <w:t xml:space="preserve"/>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Hay una diferencia fundamental entre pedirle a ChatGPT que corrija el estilo de un párrafo y diseñar un sistema de once agentes que produce artículos científicos completos bajo la dirección de un investigador. El primero es asistencia de redacción -- comparable al uso de un corrector ortográfico sofisticado. El segundo es un proceso de producción intelectual colaborativa que no tiene equivalente histórico claro.</w:t>
      </w:r>
    </w:p>
    <w:p>
      <w:pPr>
        <w:spacing w:after="80" w:before="0" w:line="276"/>
      </w:pPr>
      <w:r>
        <w:rPr>
          <w:rFonts w:ascii="Times New Roman" w:cs="Times New Roman" w:eastAsia="Times New Roman" w:hAnsi="Times New Roman"/>
          <w:sz w:val="24"/>
          <w:szCs w:val="24"/>
        </w:rPr>
        <w:t xml:space="preserve"/>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Selwyn (2019) advirtió que la IA en educación no elimina la agencia humana sino que la redistribuye. Esa redistribución es exactamente lo que describe el concepto de authoría de proceso: el investigador ejerce su agencia en el diseño y la supervisión del proceso, no en la ejecución momento a momento. Es una forma de authoría nueva, pero no menor -- exige exactamente las competencias que la academia siempre ha valorado: conocimiento disciplinario profundo, criterio crítico, responsabilidad sobre los resultados.</w:t>
      </w:r>
    </w:p>
    <w:p>
      <w:pPr>
        <w:spacing w:after="80" w:before="0" w:line="276"/>
      </w:pPr>
      <w:r>
        <w:rPr>
          <w:rFonts w:ascii="Times New Roman" w:cs="Times New Roman" w:eastAsia="Times New Roman" w:hAnsi="Times New Roman"/>
          <w:sz w:val="24"/>
          <w:szCs w:val="24"/>
        </w:rPr>
        <w:t xml:space="preserve"/>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El problema es que las instituciones académicas -- revistas, universidades, comités de ética -- no han actualizado sus definiciones de authoría para acomodar esta realidad. Las normas actuales de la mayoría de revistas indexadas definen al autor como quien concibe el estudio, lo ejecuta, interpreta los resultados y asume la responsabilidad pública del producto. En el modelo de authoría de proceso, esas cuatro funciones siguen siendo humanas -- pero la ejecución de algunas de ellas está delegada a un sistema que el investigador diseñó y supervisa. {&lt;}Eso cuenta como authoría? La respuesta correcta no es sí o no -- es: depende del grado de control y responsabilidad que el investigador mantiene sobre el proceso.</w:t>
      </w:r>
    </w:p>
    <w:p>
      <w:pPr>
        <w:spacing w:after="160" w:before="0" w:line="276"/>
      </w:pPr>
      <w:r>
        <w:rPr>
          <w:rFonts w:ascii="Times New Roman" w:cs="Times New Roman" w:eastAsia="Times New Roman" w:hAnsi="Times New Roman"/>
          <w:sz w:val="24"/>
          <w:szCs w:val="24"/>
        </w:rPr>
        <w:t xml:space="preserve"/>
      </w:r>
    </w:p>
    <w:p>
      <w:pPr>
        <w:spacing w:after="160" w:before="320" w:line="276"/>
        <w:jc w:val="left"/>
      </w:pPr>
      <w:r>
        <w:rPr>
          <w:rFonts w:ascii="Times New Roman" w:cs="Times New Roman" w:eastAsia="Times New Roman" w:hAnsi="Times New Roman"/>
          <w:b/>
          <w:bCs/>
          <w:color w:val="000000"/>
          <w:sz w:val="26"/>
          <w:szCs w:val="26"/>
        </w:rPr>
        <w:t xml:space="preserve">5.2. Ética en la producción científica asistida por IA</w:t>
      </w:r>
    </w:p>
    <w:p>
      <w:pPr>
        <w:spacing w:after="120" w:before="240" w:line="276"/>
        <w:jc w:val="left"/>
      </w:pPr>
      <w:r>
        <w:rPr>
          <w:rFonts w:ascii="Times New Roman" w:cs="Times New Roman" w:eastAsia="Times New Roman" w:hAnsi="Times New Roman"/>
          <w:b/>
          <w:bCs/>
          <w:color w:val="000000"/>
          <w:sz w:val="24"/>
          <w:szCs w:val="24"/>
        </w:rPr>
        <w:t xml:space="preserve">La declaración de uso de IA: de opcional a obligatoria</w:t>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Cuando esta experiencia comenzó, la declaración del uso de IA en artículos científicos era una práctica emergente, adoptada por algunas revistas y rechazada por otras. La posición de este libro es clara: esa declaración debe ser obligatoria, explícita y detallada. No porque la IA sea un problema -- sino porque la transparencia es una condición de la integridad académica, independientemente de la herramienta utilizada.</w:t>
      </w:r>
    </w:p>
    <w:p>
      <w:pPr>
        <w:spacing w:after="80" w:before="0" w:line="276"/>
      </w:pPr>
      <w:r>
        <w:rPr>
          <w:rFonts w:ascii="Times New Roman" w:cs="Times New Roman" w:eastAsia="Times New Roman" w:hAnsi="Times New Roman"/>
          <w:sz w:val="24"/>
          <w:szCs w:val="24"/>
        </w:rPr>
        <w:t xml:space="preserve"/>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La declaración de uso de IA debería especificar, como mínimo: qué sistema se utilizó, para qué tareas específicas, qué proceso de validación human se aplicó sobre los outputs, y qué partes del texto son directamente atribuibles al investigador y cuáles pasaron por generación asistida. Esa declaración no debilita el artículo -- lo fortalece, porque demuestra que el investigador comprende y controla el proceso que usó.</w:t>
      </w:r>
    </w:p>
    <w:p>
      <w:pPr>
        <w:spacing w:after="80" w:before="0" w:line="276"/>
      </w:pPr>
      <w:r>
        <w:rPr>
          <w:rFonts w:ascii="Times New Roman" w:cs="Times New Roman" w:eastAsia="Times New Roman" w:hAnsi="Times New Roman"/>
          <w:sz w:val="24"/>
          <w:szCs w:val="24"/>
        </w:rPr>
        <w:t xml:space="preserve"/>
      </w:r>
    </w:p>
    <w:p>
      <w:pPr>
        <w:spacing w:after="120" w:before="240" w:line="276"/>
        <w:jc w:val="left"/>
      </w:pPr>
      <w:r>
        <w:rPr>
          <w:rFonts w:ascii="Times New Roman" w:cs="Times New Roman" w:eastAsia="Times New Roman" w:hAnsi="Times New Roman"/>
          <w:b/>
          <w:bCs/>
          <w:color w:val="000000"/>
          <w:sz w:val="24"/>
          <w:szCs w:val="24"/>
        </w:rPr>
        <w:t xml:space="preserve">La propiedad intelectual del output: una pregunta sin respuesta clara</w:t>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Si un sistema de IA produce un texto, {&lt;}a quién pertenece ese texto? La respuesta legal depende de la jurisdicción y está en permanente evolución. La respuesta ética, sin embargo, es más estable: pertenece al investigador que diseñó el proceso, aportó el conocimiento disciplinario, validó el output y asumió la responsabilidad pública del resultado. La propiedad intelectual no reside en quién produce las palabras -- reside en quién asume la responsabilidad de lo que esas palabras dicen.</w:t>
      </w:r>
    </w:p>
    <w:p>
      <w:pPr>
        <w:spacing w:after="80" w:before="0" w:line="276"/>
      </w:pPr>
      <w:r>
        <w:rPr>
          <w:rFonts w:ascii="Times New Roman" w:cs="Times New Roman" w:eastAsia="Times New Roman" w:hAnsi="Times New Roman"/>
          <w:sz w:val="24"/>
          <w:szCs w:val="24"/>
        </w:rPr>
        <w:t xml:space="preserve"/>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Esto tiene implicaciones prácticas importantes para la academia latinoamericana. Si un investigador usa SciAgent para producir un artículo, somete ese artículo a una revista y el artículo es aceptado, la responsabilidad de lo que el artículo afirma -- incluyendo los errores que el proceso de revisión no detectó -- recae completamente sobre el investigador. El sistema no puede ser demandado, sancionado ni retirado de una publicación. El investigador, sí.</w:t>
      </w:r>
    </w:p>
    <w:p>
      <w:pPr>
        <w:spacing w:after="80" w:before="0" w:line="276"/>
      </w:pPr>
      <w:r>
        <w:rPr>
          <w:rFonts w:ascii="Times New Roman" w:cs="Times New Roman" w:eastAsia="Times New Roman" w:hAnsi="Times New Roman"/>
          <w:sz w:val="24"/>
          <w:szCs w:val="24"/>
        </w:rPr>
        <w:t xml:space="preserve"/>
      </w:r>
    </w:p>
    <w:p>
      <w:pPr>
        <w:spacing w:after="120" w:before="240" w:line="276"/>
        <w:jc w:val="left"/>
      </w:pPr>
      <w:r>
        <w:rPr>
          <w:rFonts w:ascii="Times New Roman" w:cs="Times New Roman" w:eastAsia="Times New Roman" w:hAnsi="Times New Roman"/>
          <w:b/>
          <w:bCs/>
          <w:color w:val="000000"/>
          <w:sz w:val="24"/>
          <w:szCs w:val="24"/>
        </w:rPr>
        <w:t xml:space="preserve">El plagio asistido por IA: una amenaza real</w:t>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Hay un riesgo ético que este libro no puede ignorar porque sería cómplice de él si lo callara: la posibilidad de que sistemas como SciAgent sean usados para fabricar artículos científicos sin el conocimiento disciplinario que este libro describe como condición necesaria. Un investigador sin ese conocimiento que usa el sistema para producir un artículo que no puede defender intelectualmente, que no puede responder a las preguntas de un revisor externo y que no asume la responsabilidad de sus afirmaciones, no es un investigador que usa IA: es un defraudador académico que usa IA como herramienta.</w:t>
      </w:r>
    </w:p>
    <w:p>
      <w:pPr>
        <w:spacing w:after="80" w:before="0" w:line="276"/>
      </w:pPr>
      <w:r>
        <w:rPr>
          <w:rFonts w:ascii="Times New Roman" w:cs="Times New Roman" w:eastAsia="Times New Roman" w:hAnsi="Times New Roman"/>
          <w:sz w:val="24"/>
          <w:szCs w:val="24"/>
        </w:rPr>
        <w:t xml:space="preserve"/>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La diferencia entre el uso responsable y el uso fraudulento de estos sistemas no está en la herramienta -- está en la actitud del investigador. Y esa diferencia no puede ser detectada automáticamente por ninguna plataforma de revisión de plagio, porque el texto producido puede ser técnicamente original y metodológicamente fraudulento al mismo tiempo.</w:t>
      </w:r>
    </w:p>
    <w:p>
      <w:pPr>
        <w:spacing w:after="160" w:before="0" w:line="276"/>
      </w:pPr>
      <w:r>
        <w:rPr>
          <w:rFonts w:ascii="Times New Roman" w:cs="Times New Roman" w:eastAsia="Times New Roman" w:hAnsi="Times New Roman"/>
          <w:sz w:val="24"/>
          <w:szCs w:val="24"/>
        </w:rPr>
        <w:t xml:space="preserve"/>
      </w:r>
    </w:p>
    <w:p>
      <w:pPr>
        <w:spacing w:after="160" w:before="320" w:line="276"/>
        <w:jc w:val="left"/>
      </w:pPr>
      <w:r>
        <w:rPr>
          <w:rFonts w:ascii="Times New Roman" w:cs="Times New Roman" w:eastAsia="Times New Roman" w:hAnsi="Times New Roman"/>
          <w:b/>
          <w:bCs/>
          <w:color w:val="000000"/>
          <w:sz w:val="26"/>
          <w:szCs w:val="26"/>
        </w:rPr>
        <w:t xml:space="preserve">5.3. La desigualdad tecnológica: quién puede y quién no puede</w:t>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Hay una tensión que este libro arrastra desde el Prefacio y que este capítulo debe resolver: si el proceso es replicable para cualquier docente universitario con curiosidad disciplinada, {&lt;}por qué hay condiciones que solo algunos pueden cumplir?</w:t>
      </w:r>
    </w:p>
    <w:p>
      <w:pPr>
        <w:spacing w:after="80" w:before="0" w:line="276"/>
      </w:pPr>
      <w:r>
        <w:rPr>
          <w:rFonts w:ascii="Times New Roman" w:cs="Times New Roman" w:eastAsia="Times New Roman" w:hAnsi="Times New Roman"/>
          <w:sz w:val="24"/>
          <w:szCs w:val="24"/>
        </w:rPr>
        <w:t xml:space="preserve"/>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La respuesta honesta es que hay una jerarquía de acceso. En la cima están los investigadores con conectividad estable, tarjeta de crédito internacional, dominio del inglés suficiente para navegar documentación técnica, y respaldo institucional para experimentar con herramientas nuevas. En la base están los investigadores con conectividad precaria, sin acceso a crédito internacional, en instituciones que penalizan la innovación métodológica y en regiones donde la infraestructura digital sigue siendo un proyecto pendiente.</w:t>
      </w:r>
    </w:p>
    <w:p>
      <w:pPr>
        <w:spacing w:after="80" w:before="0" w:line="276"/>
      </w:pPr>
      <w:r>
        <w:rPr>
          <w:rFonts w:ascii="Times New Roman" w:cs="Times New Roman" w:eastAsia="Times New Roman" w:hAnsi="Times New Roman"/>
          <w:sz w:val="24"/>
          <w:szCs w:val="24"/>
        </w:rPr>
        <w:t xml:space="preserve"/>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Luckin (2018) advirtió que las tecnologías de IA en educación tienden a reproducir y ampliar las desigualdades preexistentes si no se diseñan con criterios de equidad desde el inicio. En América Latina, esa advertencia tiene una urgencia particular. La región tiene universidades con acceso pleno a la frontera tecnológica y universidades que aún batallan con conexiones inestables y equipos obsoletos. Si los sistemas de IA para investigación benefician principalmente a las primeras, la brecha de calidad académica entre instituciones -- que ya es grande -- se ampliará todavía más.</w:t>
      </w:r>
    </w:p>
    <w:p>
      <w:pPr>
        <w:spacing w:after="80" w:before="0" w:line="276"/>
      </w:pPr>
      <w:r>
        <w:rPr>
          <w:rFonts w:ascii="Times New Roman" w:cs="Times New Roman" w:eastAsia="Times New Roman" w:hAnsi="Times New Roman"/>
          <w:sz w:val="24"/>
          <w:szCs w:val="24"/>
        </w:rPr>
        <w:t xml:space="preserve"/>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La respuesta a esa tensión no es negar que la brecha existe ni pretender que el acceso es universal. Es nombrarlo con precisión, diseñar soluciones que reduzcan la barrera de entrada -- código abierto, documentación en español, versiones optimizadas para bajo consumo de API -- y construir comunidades de práctica que permitan a los investigadores menos favorecidos acceder a las mismas herramientas a través de redes colaborativas. El repositorio de SciAgent en GitHub es un primer paso en esa dirección -- pero solo un primer paso.</w:t>
      </w:r>
    </w:p>
    <w:p>
      <w:pPr>
        <w:spacing w:after="160" w:before="0" w:line="276"/>
      </w:pPr>
      <w:r>
        <w:rPr>
          <w:rFonts w:ascii="Times New Roman" w:cs="Times New Roman" w:eastAsia="Times New Roman" w:hAnsi="Times New Roman"/>
          <w:sz w:val="24"/>
          <w:szCs w:val="24"/>
        </w:rPr>
        <w:t xml:space="preserve"/>
      </w:r>
    </w:p>
    <w:p>
      <w:pPr>
        <w:spacing w:after="160" w:before="320" w:line="276"/>
        <w:jc w:val="left"/>
      </w:pPr>
      <w:r>
        <w:rPr>
          <w:rFonts w:ascii="Times New Roman" w:cs="Times New Roman" w:eastAsia="Times New Roman" w:hAnsi="Times New Roman"/>
          <w:b/>
          <w:bCs/>
          <w:color w:val="000000"/>
          <w:sz w:val="26"/>
          <w:szCs w:val="26"/>
        </w:rPr>
        <w:t xml:space="preserve">5.4. Los estándares internacionales y la academia latinoamericana</w:t>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Las grandes revistas indexadas -- Nature, Science, Lancet, Cell -- ya tienen políticas explícitas sobre el uso de IA en la producción científica. Ninguna prohíbe el uso de IA como herramienta de apoyo. Todas exigen transparencia sobre cómo se usó, y ninguna acepta a la IA como co-autora -- porque la authoría implica responsabilidad, y un sistema no puede ser responsable.</w:t>
      </w:r>
    </w:p>
    <w:p>
      <w:pPr>
        <w:spacing w:after="80" w:before="0" w:line="276"/>
      </w:pPr>
      <w:r>
        <w:rPr>
          <w:rFonts w:ascii="Times New Roman" w:cs="Times New Roman" w:eastAsia="Times New Roman" w:hAnsi="Times New Roman"/>
          <w:sz w:val="24"/>
          <w:szCs w:val="24"/>
        </w:rPr>
        <w:t xml:space="preserve"/>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La academia latinoamericana tiene la oportunidad -- y la responsabilidad -- de construir sus propios estándares antes de que los estándares lleguen impuestos desde afuera. Eso implica que las universidades, los comités de ética institucionales y las revistas regionales desarrollen políticas explícitas sobre el uso de IA en investigación que sean apropiadas para el contexto latinoamericano -- con sus recursos, sus tradiciones disciplinarias y sus prioridades académicas propias.</w:t>
      </w:r>
    </w:p>
    <w:p>
      <w:pPr>
        <w:spacing w:after="80" w:before="0" w:line="276"/>
      </w:pPr>
      <w:r>
        <w:rPr>
          <w:rFonts w:ascii="Times New Roman" w:cs="Times New Roman" w:eastAsia="Times New Roman" w:hAnsi="Times New Roman"/>
          <w:sz w:val="24"/>
          <w:szCs w:val="24"/>
        </w:rPr>
        <w:t xml:space="preserve"/>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Rojas y Chiappe (2024) documentaron que la adopción acelerada de herramientas de IA en la investigación universitaria latinoamericana rara vez va acompañada de protocolos críticos de verificación. Este libro es un intento de contribuir a llenar ese vacío -- no con una política prescriptiva, sino con una experiencia documentada que otras instituciones pueden tomar como punto de partida para construir la suya.</w:t>
      </w:r>
    </w:p>
    <w:p>
      <w:pPr>
        <w:spacing w:after="160" w:before="0" w:line="276"/>
      </w:pPr>
      <w:r>
        <w:rPr>
          <w:rFonts w:ascii="Times New Roman" w:cs="Times New Roman" w:eastAsia="Times New Roman" w:hAnsi="Times New Roman"/>
          <w:sz w:val="24"/>
          <w:szCs w:val="24"/>
        </w:rPr>
        <w:t xml:space="preserve"/>
      </w:r>
    </w:p>
    <w:p>
      <w:pPr>
        <w:spacing w:after="160" w:before="320" w:line="276"/>
        <w:jc w:val="left"/>
      </w:pPr>
      <w:r>
        <w:rPr>
          <w:rFonts w:ascii="Times New Roman" w:cs="Times New Roman" w:eastAsia="Times New Roman" w:hAnsi="Times New Roman"/>
          <w:b/>
          <w:bCs/>
          <w:color w:val="000000"/>
          <w:sz w:val="26"/>
          <w:szCs w:val="26"/>
        </w:rPr>
        <w:t xml:space="preserve">5.5. Un nuevo paradigma que apenas empieza</w:t>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Hay algo que solo se entiende después de haber pasado por el proceso que este libro describe: la inteligencia artificial no cambia solo lo que los investigadores pueden hacer. Cambia cómo piensan sobre lo que hacen.</w:t>
      </w:r>
    </w:p>
    <w:p>
      <w:pPr>
        <w:spacing w:after="80" w:before="0" w:line="276"/>
      </w:pPr>
      <w:r>
        <w:rPr>
          <w:rFonts w:ascii="Times New Roman" w:cs="Times New Roman" w:eastAsia="Times New Roman" w:hAnsi="Times New Roman"/>
          <w:sz w:val="24"/>
          <w:szCs w:val="24"/>
        </w:rPr>
        <w:t xml:space="preserve"/>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Antes de construir SciAgent, la investigación era un proceso que comenzaba con una pregunta y terminaba con un texto. Después de construirlo, la investigación es un proceso que incluye el diseño del proceso mismo como objeto de reflexión metodológica. El investigador no solo decide qué investigar y cómo -- ahora también decide qué delegar, a qué sistema, bajo qué protocolos de supervisión y con qué criterios de validación.</w:t>
      </w:r>
    </w:p>
    <w:p>
      <w:pPr>
        <w:spacing w:after="80" w:before="0" w:line="276"/>
      </w:pPr>
      <w:r>
        <w:rPr>
          <w:rFonts w:ascii="Times New Roman" w:cs="Times New Roman" w:eastAsia="Times New Roman" w:hAnsi="Times New Roman"/>
          <w:sz w:val="24"/>
          <w:szCs w:val="24"/>
        </w:rPr>
        <w:t xml:space="preserve"/>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Esa complejidad adicional no es una carga. Es una oportunidad de profundizar la reflexividad metodológica que la buena ciencia siempre ha exigido. Un investigador que puede articular con precisión cómo usó la IA, qué decisions tomó el sistema y cuáles tomó él, y qué proceso de validación aplicó sobre los outputs, demuestra un nivel de rigor metodológico que va más allá de lo que la mayoría de artículos académicos exige hoy.</w:t>
      </w:r>
    </w:p>
    <w:p>
      <w:pPr>
        <w:spacing w:after="80" w:before="0" w:line="276"/>
      </w:pPr>
      <w:r>
        <w:rPr>
          <w:rFonts w:ascii="Times New Roman" w:cs="Times New Roman" w:eastAsia="Times New Roman" w:hAnsi="Times New Roman"/>
          <w:sz w:val="24"/>
          <w:szCs w:val="24"/>
        </w:rPr>
        <w:t xml:space="preserve"/>
      </w:r>
    </w:p>
    <w:p>
      <w:pPr>
        <w:pBdr>
          <w:top w:val="single" w:color="1A2F4A" w:sz="4"/>
          <w:bottom w:val="single" w:color="1A2F4A" w:sz="4"/>
          <w:left w:val="single" w:color="1A2F4A" w:sz="6"/>
          <w:right w:val="single" w:color="1A2F4A" w:sz="6"/>
        </w:pBdr>
        <w:spacing w:after="200" w:before="120" w:line="276"/>
        <w:ind w:left="720" w:right="720"/>
        <w:jc w:val="both"/>
      </w:pPr>
      <w:r>
        <w:rPr>
          <w:rFonts w:ascii="Times New Roman" w:cs="Times New Roman" w:eastAsia="Times New Roman" w:hAnsi="Times New Roman"/>
          <w:i/>
          <w:iCs/>
          <w:color w:val="1A2F4A"/>
          <w:sz w:val="22"/>
          <w:szCs w:val="22"/>
        </w:rPr>
        <w:t xml:space="preserve">«Un investigador que puede articular con precisión cómo usó la IA demuestra un nivel de rigor metodológico que va más allá de lo que la mayoría de artículos académicos exige hoy.»</w:t>
      </w:r>
    </w:p>
    <w:p>
      <w:pPr>
        <w:spacing w:after="160" w:before="0" w:line="276"/>
      </w:pPr>
      <w:r>
        <w:rPr>
          <w:rFonts w:ascii="Times New Roman" w:cs="Times New Roman" w:eastAsia="Times New Roman" w:hAnsi="Times New Roman"/>
          <w:sz w:val="24"/>
          <w:szCs w:val="24"/>
        </w:rPr>
        <w:t xml:space="preserve"/>
      </w:r>
    </w:p>
    <w:p>
      <w:pPr>
        <w:spacing w:after="160" w:before="320" w:line="276"/>
        <w:jc w:val="left"/>
      </w:pPr>
      <w:r>
        <w:rPr>
          <w:rFonts w:ascii="Times New Roman" w:cs="Times New Roman" w:eastAsia="Times New Roman" w:hAnsi="Times New Roman"/>
          <w:b/>
          <w:bCs/>
          <w:color w:val="000000"/>
          <w:sz w:val="26"/>
          <w:szCs w:val="26"/>
        </w:rPr>
        <w:t xml:space="preserve">5.6. Reflexión final del capítulo</w:t>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Las preguntas que este capítulo formuló -- sobre authoría, ética, desigualdad y estándares -- no tienen respuestas definitivas. Eso no las hace menos urgentes. Las tiene porque el campo está cambiando más rápido de lo que las instituciones académicas pueden responder, y porque los investigadores que ya están usando estas herramientas no pueden esperar a que las instituciones decidan qué es apropiado.</w:t>
      </w:r>
    </w:p>
    <w:p>
      <w:pPr>
        <w:spacing w:after="80" w:before="0" w:line="276"/>
      </w:pPr>
      <w:r>
        <w:rPr>
          <w:rFonts w:ascii="Times New Roman" w:cs="Times New Roman" w:eastAsia="Times New Roman" w:hAnsi="Times New Roman"/>
          <w:sz w:val="24"/>
          <w:szCs w:val="24"/>
        </w:rPr>
        <w:t xml:space="preserve"/>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Lo que sí tiene respuesta es la pregunta con la que este libro comenzó: {&lt;}cómo puedo usar la IA para mi práctica docente y profesional? La respuesta que esta experiencia ofrece es: con conocimiento disciplinario profundo, con protocolos de validación explícitos, con transparencia sobre el proceso y con responsabilidad plena sobre los resultados. No como sustituto del investigador, sino como amplificador de lo que el investigador ya sabe hacer.</w:t>
      </w:r>
    </w:p>
    <w:p>
      <w:pPr>
        <w:spacing w:after="240" w:before="0" w:line="276"/>
      </w:pPr>
      <w:r>
        <w:rPr>
          <w:rFonts w:ascii="Times New Roman" w:cs="Times New Roman" w:eastAsia="Times New Roman" w:hAnsi="Times New Roman"/>
          <w:sz w:val="24"/>
          <w:szCs w:val="24"/>
        </w:rPr>
        <w:t xml:space="preserve"/>
      </w:r>
    </w:p>
    <w:p>
      <w:pPr>
        <w:spacing w:after="120" w:before="240" w:line="276"/>
        <w:jc w:val="left"/>
      </w:pPr>
      <w:r>
        <w:rPr>
          <w:rFonts w:ascii="Times New Roman" w:cs="Times New Roman" w:eastAsia="Times New Roman" w:hAnsi="Times New Roman"/>
          <w:b/>
          <w:bCs/>
          <w:color w:val="000000"/>
          <w:sz w:val="24"/>
          <w:szCs w:val="24"/>
        </w:rPr>
        <w:t xml:space="preserve">Referencias del capítulo</w:t>
      </w:r>
    </w:p>
    <w:p>
      <w:pPr>
        <w:spacing w:after="60" w:before="0" w:line="276"/>
      </w:pPr>
      <w:r>
        <w:rPr>
          <w:rFonts w:ascii="Times New Roman" w:cs="Times New Roman" w:eastAsia="Times New Roman" w:hAnsi="Times New Roman"/>
          <w:sz w:val="24"/>
          <w:szCs w:val="24"/>
        </w:rPr>
        <w:t xml:space="preserve"/>
      </w:r>
    </w:p>
    <w:p>
      <w:pPr>
        <w:spacing w:after="100" w:before="0" w:line="276"/>
        <w:ind w:left="720" w:hanging="720"/>
        <w:jc w:val="both"/>
      </w:pPr>
      <w:r>
        <w:rPr>
          <w:rFonts w:ascii="Times New Roman" w:cs="Times New Roman" w:eastAsia="Times New Roman" w:hAnsi="Times New Roman"/>
          <w:sz w:val="22"/>
          <w:szCs w:val="22"/>
        </w:rPr>
        <w:t xml:space="preserve">Luckin, R. (2018). Machine learning and human intelligence: The future of education for the 21st century. UCL Institute of Education Press.</w:t>
      </w:r>
    </w:p>
    <w:p>
      <w:pPr>
        <w:spacing w:after="100" w:before="0" w:line="276"/>
        <w:ind w:left="720" w:hanging="720"/>
        <w:jc w:val="both"/>
      </w:pPr>
      <w:r>
        <w:rPr>
          <w:rFonts w:ascii="Times New Roman" w:cs="Times New Roman" w:eastAsia="Times New Roman" w:hAnsi="Times New Roman"/>
          <w:sz w:val="22"/>
          <w:szCs w:val="22"/>
        </w:rPr>
        <w:t xml:space="preserve">Rojas, C. y Chiappe, A. (2024). Ecosistemas digitales e inteligencia artificial en la educación superior latinoamericana. Edutec. Revista Electrónica de Tecnología Educativa, 87, 1-19.</w:t>
      </w:r>
    </w:p>
    <w:p>
      <w:pPr>
        <w:spacing w:after="100" w:before="0" w:line="276"/>
        <w:ind w:left="720" w:hanging="720"/>
        <w:jc w:val="both"/>
      </w:pPr>
      <w:r>
        <w:rPr>
          <w:rFonts w:ascii="Times New Roman" w:cs="Times New Roman" w:eastAsia="Times New Roman" w:hAnsi="Times New Roman"/>
          <w:sz w:val="22"/>
          <w:szCs w:val="22"/>
        </w:rPr>
        <w:t xml:space="preserve">Selwyn, N. (2019). Should robots replace teachers? AI and the future of education. Polity Press.</w:t>
      </w:r>
    </w:p>
    <w:p>
      <w:pPr>
        <w:spacing w:after="100" w:before="0" w:line="276"/>
        <w:ind w:left="720" w:hanging="720"/>
        <w:jc w:val="both"/>
      </w:pPr>
      <w:r>
        <w:rPr>
          <w:rFonts w:ascii="Times New Roman" w:cs="Times New Roman" w:eastAsia="Times New Roman" w:hAnsi="Times New Roman"/>
          <w:sz w:val="22"/>
          <w:szCs w:val="22"/>
        </w:rPr>
        <w:t xml:space="preserve">Zawacki-Richter, O., Marín, V. I., Bond, M. y Gouverneur, F. (2019). Systematic review of research on artificial intelligence applications in higher education. International Journal of Educational Technology in Higher Education, 16, 39. https://doi.org/10.1186/s41239-019-0171-0</w:t>
      </w:r>
    </w:p>
    <w:p>
      <w:pPr>
        <w:spacing w:after="320" w:before="0" w:line="276"/>
      </w:pPr>
      <w:r>
        <w:rPr>
          <w:rFonts w:ascii="Times New Roman" w:cs="Times New Roman" w:eastAsia="Times New Roman" w:hAnsi="Times New Roman"/>
          <w:sz w:val="24"/>
          <w:szCs w:val="24"/>
        </w:rPr>
        <w:t xml:space="preserve"/>
      </w:r>
    </w:p>
    <w:p>
      <w:pPr>
        <w:pBdr>
          <w:top w:val="single" w:color="1A2F4A" w:sz="4"/>
          <w:bottom w:val="single" w:color="1A2F4A" w:sz="4"/>
          <w:left w:val="single" w:color="1A2F4A" w:sz="6"/>
          <w:right w:val="single" w:color="1A2F4A" w:sz="6"/>
        </w:pBdr>
        <w:spacing w:after="200" w:before="120" w:line="276"/>
        <w:ind w:left="720" w:right="720"/>
        <w:jc w:val="both"/>
      </w:pPr>
      <w:r>
        <w:rPr>
          <w:rFonts w:ascii="Times New Roman" w:cs="Times New Roman" w:eastAsia="Times New Roman" w:hAnsi="Times New Roman"/>
          <w:i/>
          <w:iCs/>
          <w:color w:val="1A2F4A"/>
          <w:sz w:val="22"/>
          <w:szCs w:val="22"/>
        </w:rPr>
        <w:t xml:space="preserve">Fin del Capítulo 5.
El Capítulo 6 desarrollará: Aplicaciones prácticas y casos de uso — docencia, investigación territorial, gestión de cuencas.
Espero sus observaciones para continuar.</w:t>
      </w:r>
    </w:p>
    <w:p>
      <w:r>
        <w:br w:type="page"/>
      </w:r>
    </w:p>
    <w:p>
      <w:pPr>
        <w:spacing w:after="200" w:before="400" w:line="276"/>
        <w:jc w:val="left"/>
      </w:pPr>
      <w:r>
        <w:rPr>
          <w:rFonts w:ascii="Times New Roman" w:cs="Times New Roman" w:eastAsia="Times New Roman" w:hAnsi="Times New Roman"/>
          <w:b/>
          <w:bCs/>
          <w:color w:val="000000"/>
          <w:sz w:val="28"/>
          <w:szCs w:val="28"/>
        </w:rPr>
        <w:t xml:space="preserve">Capítulo 6</w:t>
      </w:r>
    </w:p>
    <w:p>
      <w:pPr>
        <w:spacing w:after="240" w:before="0" w:line="276"/>
        <w:jc w:val="left"/>
      </w:pPr>
      <w:r>
        <w:rPr>
          <w:rFonts w:ascii="Times New Roman" w:cs="Times New Roman" w:eastAsia="Times New Roman" w:hAnsi="Times New Roman"/>
          <w:b/>
          <w:bCs/>
          <w:color w:val="1A2F4A"/>
          <w:sz w:val="32"/>
          <w:szCs w:val="32"/>
        </w:rPr>
        <w:t xml:space="preserve">Aplicaciones prácticas y casos de uso: el investigador como guía del proceso</w:t>
      </w:r>
    </w:p>
    <w:p>
      <w:pPr>
        <w:pBdr>
          <w:top w:val="single" w:color="1A2F4A" w:sz="4"/>
          <w:bottom w:val="single" w:color="1A2F4A" w:sz="4"/>
          <w:left w:val="single" w:color="1A2F4A" w:sz="6"/>
          <w:right w:val="single" w:color="1A2F4A" w:sz="6"/>
        </w:pBdr>
        <w:spacing w:after="200" w:before="120" w:line="276"/>
        <w:ind w:left="720" w:right="720"/>
        <w:jc w:val="both"/>
      </w:pPr>
      <w:r>
        <w:rPr>
          <w:rFonts w:ascii="Times New Roman" w:cs="Times New Roman" w:eastAsia="Times New Roman" w:hAnsi="Times New Roman"/>
          <w:i/>
          <w:iCs/>
          <w:color w:val="1A2F4A"/>
          <w:sz w:val="22"/>
          <w:szCs w:val="22"/>
        </w:rPr>
        <w:t xml:space="preserve">«La fusión entre la herramienta de apoyo y el investigador no es una metáfora. Es la condición de posibilidad de todo lo que este capítulo describe. Ninguno de estos trabajos existía antes del proceso. Todos ellos existen porque el investigador dirigió cada decisión crítica.»
Manuel J. Sotomayor-Fernández</w:t>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Los cinco capítulos anteriores construyeron el argumento de este libro de manera progresiva: el asombro inicial, el testimonio honesto, el protocolo metodológico, el sistema como revisor y el marco crítico. Este capítulo hace algo diferente: muestra cómo todo eso funciona en la práctica cotidiana de un docente e investigador universitario en Piura, Perú.</w:t>
      </w:r>
    </w:p>
    <w:p>
      <w:pPr>
        <w:spacing w:after="80" w:before="0" w:line="276"/>
      </w:pPr>
      <w:r>
        <w:rPr>
          <w:rFonts w:ascii="Times New Roman" w:cs="Times New Roman" w:eastAsia="Times New Roman" w:hAnsi="Times New Roman"/>
          <w:sz w:val="24"/>
          <w:szCs w:val="24"/>
        </w:rPr>
        <w:t xml:space="preserve"/>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Los casos que se presentan aquí no son éxitos consumados ni productos terminados. Son procesos vivos: trabajos en revisión, en validación, en corrección. Y precisamente por eso son útiles -- porque muestran la investigación tal como ocurre, no como se presenta cuando ya está publicada. El investigador no es un usuario que recibe productos del sistema. Es el guía que conduce el proceso, que valida cada paso y que asume la responsabilidad del resultado final. La validación no es un obstáculo en el camino al éxito -- es parte constitutiva del éxito mismo.</w:t>
      </w:r>
    </w:p>
    <w:p>
      <w:pPr>
        <w:spacing w:after="80" w:before="0" w:line="276"/>
      </w:pPr>
      <w:r>
        <w:rPr>
          <w:rFonts w:ascii="Times New Roman" w:cs="Times New Roman" w:eastAsia="Times New Roman" w:hAnsi="Times New Roman"/>
          <w:sz w:val="24"/>
          <w:szCs w:val="24"/>
        </w:rPr>
        <w:t xml:space="preserve"/>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Hay un denominador común que atraviesa todos los casos que este capítulo describe: la fusión entre la herramienta de apoyo y el investigador. Ninguno de estos trabajos fue producido solo por el sistema. Ninguno fue producido solo por el investigador. Todos emergieron de una colaboración donde el sistema ejecutó con velocidad y precisión, y el investigador orientó, corrigió, validó y asumió la responsabilidad de lo que el proceso producía.</w:t>
      </w:r>
    </w:p>
    <w:p>
      <w:pPr>
        <w:spacing w:after="160" w:before="0" w:line="276"/>
      </w:pPr>
      <w:r>
        <w:rPr>
          <w:rFonts w:ascii="Times New Roman" w:cs="Times New Roman" w:eastAsia="Times New Roman" w:hAnsi="Times New Roman"/>
          <w:sz w:val="24"/>
          <w:szCs w:val="24"/>
        </w:rPr>
        <w:t xml:space="preserve"/>
      </w:r>
    </w:p>
    <w:p>
      <w:pPr>
        <w:spacing w:after="160" w:before="320" w:line="276"/>
        <w:jc w:val="left"/>
      </w:pPr>
      <w:r>
        <w:rPr>
          <w:rFonts w:ascii="Times New Roman" w:cs="Times New Roman" w:eastAsia="Times New Roman" w:hAnsi="Times New Roman"/>
          <w:b/>
          <w:bCs/>
          <w:color w:val="000000"/>
          <w:sz w:val="26"/>
          <w:szCs w:val="26"/>
        </w:rPr>
        <w:t xml:space="preserve">6.1. La docencia universitaria: el investigador como asesor más efectivo</w:t>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La asesoría de tesis es la tarea académica más exigente en tiempo dentro de la universidad peruana. El asesor promedio tiene entre cinco y quince tesistas simultáneos, cada uno en una etapa diferente, con niveles de avance distintos y con necesidades de retroalimentación que rara vez pueden atenderse con la profundidad que el proceso requiere.</w:t>
      </w:r>
    </w:p>
    <w:p>
      <w:pPr>
        <w:spacing w:after="80" w:before="0" w:line="276"/>
      </w:pPr>
      <w:r>
        <w:rPr>
          <w:rFonts w:ascii="Times New Roman" w:cs="Times New Roman" w:eastAsia="Times New Roman" w:hAnsi="Times New Roman"/>
          <w:sz w:val="24"/>
          <w:szCs w:val="24"/>
        </w:rPr>
        <w:t xml:space="preserve"/>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El sistema no resolvió ese problema. Lo transformó. Y la transformación no fue técnica -- fue metodológica: el sistema le devuelve al asesor el tiempo que antes se invertía en identificar los problemas, para que ese tiempo se invierta en lo que realmente importa: las decisiones intelectuales que ningún sistema puede tomar por él.</w:t>
      </w:r>
    </w:p>
    <w:p>
      <w:pPr>
        <w:spacing w:after="80" w:before="0" w:line="276"/>
      </w:pPr>
      <w:r>
        <w:rPr>
          <w:rFonts w:ascii="Times New Roman" w:cs="Times New Roman" w:eastAsia="Times New Roman" w:hAnsi="Times New Roman"/>
          <w:sz w:val="24"/>
          <w:szCs w:val="24"/>
        </w:rPr>
        <w:t xml:space="preserve"/>
      </w:r>
    </w:p>
    <w:p>
      <w:pPr>
        <w:spacing w:after="120" w:before="240" w:line="276"/>
        <w:jc w:val="left"/>
      </w:pPr>
      <w:r>
        <w:rPr>
          <w:rFonts w:ascii="Times New Roman" w:cs="Times New Roman" w:eastAsia="Times New Roman" w:hAnsi="Times New Roman"/>
          <w:b/>
          <w:bCs/>
          <w:color w:val="000000"/>
          <w:sz w:val="24"/>
          <w:szCs w:val="24"/>
        </w:rPr>
        <w:t xml:space="preserve">La tesis sobre estrategias didácticas y EVA: un proceso de revisión, validación y corrección</w:t>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Una tesis de maestía sobre estrategias didácticas y entornos virtuales de aprendizaje fue sometida a un proceso sistemático de revisión con el sistema. Lo que ocurrió no fue la generación automática de un capítulo -- fue un ciclo de diagnóstico, corrección y validación que el asesor condujo paso a paso.</w:t>
      </w:r>
    </w:p>
    <w:p>
      <w:pPr>
        <w:spacing w:after="80" w:before="0" w:line="276"/>
      </w:pPr>
      <w:r>
        <w:rPr>
          <w:rFonts w:ascii="Times New Roman" w:cs="Times New Roman" w:eastAsia="Times New Roman" w:hAnsi="Times New Roman"/>
          <w:sz w:val="24"/>
          <w:szCs w:val="24"/>
        </w:rPr>
        <w:t xml:space="preserve"/>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El sistema identificó tres problemas que la revisión manual habría tardado horas en encontrar: la sección de evolución histórica de los EVA carecía de fuentes previas a 2010, dejando un vacío de cinco décadas; la definición de estrategias didácticas citó la misma fuente cuatro veces en dos páginas; y las categorías de análisis no tenían el desarrollo mínimo exigido por el programa. Esos fueron los diagnósticos. Lo que siguió -- identificar las fuentes correctas, verificar su existencia, redactar los párrafos con precisión académica y asegurarse de que cada afirmación tuviera respaldo -- fue trabajo del asesor y del sistema juntos, bajo la dirección del asesor.</w:t>
      </w:r>
    </w:p>
    <w:p>
      <w:pPr>
        <w:spacing w:after="80" w:before="0" w:line="276"/>
      </w:pPr>
      <w:r>
        <w:rPr>
          <w:rFonts w:ascii="Times New Roman" w:cs="Times New Roman" w:eastAsia="Times New Roman" w:hAnsi="Times New Roman"/>
          <w:sz w:val="24"/>
          <w:szCs w:val="24"/>
        </w:rPr>
        <w:t xml:space="preserve"/>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El resultado fue un capítulo II con 42 referencias en formato APA 7, evoluciones históricas de ambas variables con fuentes verificadas, y cinco categorías de análisis desarrolladas en dos páginas cada una. Ese resultado no se logró porque el sistema lo produjo solo. Se logró porque el asesor supo qué pedir, cómo verificar lo que recibió y cuándo intervenir para corregir el rumbo.</w:t>
      </w:r>
    </w:p>
    <w:p>
      <w:pPr>
        <w:spacing w:after="80" w:before="0" w:line="276"/>
      </w:pPr>
      <w:r>
        <w:rPr>
          <w:rFonts w:ascii="Times New Roman" w:cs="Times New Roman" w:eastAsia="Times New Roman" w:hAnsi="Times New Roman"/>
          <w:sz w:val="24"/>
          <w:szCs w:val="24"/>
        </w:rPr>
        <w:t xml:space="preserve"/>
      </w:r>
    </w:p>
    <w:p>
      <w:pPr>
        <w:pBdr>
          <w:top w:val="single" w:color="1A2F4A" w:sz="4"/>
          <w:bottom w:val="single" w:color="1A2F4A" w:sz="4"/>
          <w:left w:val="single" w:color="1A2F4A" w:sz="6"/>
          <w:right w:val="single" w:color="1A2F4A" w:sz="6"/>
        </w:pBdr>
        <w:spacing w:after="200" w:before="120" w:line="276"/>
        <w:ind w:left="720" w:right="720"/>
        <w:jc w:val="both"/>
      </w:pPr>
      <w:r>
        <w:rPr>
          <w:rFonts w:ascii="Times New Roman" w:cs="Times New Roman" w:eastAsia="Times New Roman" w:hAnsi="Times New Roman"/>
          <w:i/>
          <w:iCs/>
          <w:color w:val="1A2F4A"/>
          <w:sz w:val="22"/>
          <w:szCs w:val="22"/>
        </w:rPr>
        <w:t xml:space="preserve">«El sistema detectó los problemas. El asesor decidió las soluciones. Esa división del trabajo -- diagnóstico para el sistema, juicio para el investigador -- es la que hace posible la fusión.»</w:t>
      </w:r>
    </w:p>
    <w:p>
      <w:pPr>
        <w:spacing w:after="160" w:before="0" w:line="276"/>
      </w:pPr>
      <w:r>
        <w:rPr>
          <w:rFonts w:ascii="Times New Roman" w:cs="Times New Roman" w:eastAsia="Times New Roman" w:hAnsi="Times New Roman"/>
          <w:sz w:val="24"/>
          <w:szCs w:val="24"/>
        </w:rPr>
        <w:t xml:space="preserve"/>
      </w:r>
    </w:p>
    <w:p>
      <w:pPr>
        <w:spacing w:after="160" w:before="320" w:line="276"/>
        <w:jc w:val="left"/>
      </w:pPr>
      <w:r>
        <w:rPr>
          <w:rFonts w:ascii="Times New Roman" w:cs="Times New Roman" w:eastAsia="Times New Roman" w:hAnsi="Times New Roman"/>
          <w:b/>
          <w:bCs/>
          <w:color w:val="000000"/>
          <w:sz w:val="26"/>
          <w:szCs w:val="26"/>
        </w:rPr>
        <w:t xml:space="preserve">6.2. La investigación académica: cinco trabajos en proceso</w:t>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Los trabajos de investigación que este capítulo describe no son artículos publicados. Son procesos. Eso es importante porque la narrativa del éxito instantáneo -- el artículo que sale perfecto de la primera sesión, sin revisión ni corrección -- es precisamente la narrativa que este libro quiere corregir. El éxito en la investigación asistida por IA no se mide por la velocidad de la producción. Se mide por la calidad del proceso de validación que el investigador conduce.</w:t>
      </w:r>
    </w:p>
    <w:p>
      <w:pPr>
        <w:spacing w:after="80" w:before="0" w:line="276"/>
      </w:pPr>
      <w:r>
        <w:rPr>
          <w:rFonts w:ascii="Times New Roman" w:cs="Times New Roman" w:eastAsia="Times New Roman" w:hAnsi="Times New Roman"/>
          <w:sz w:val="24"/>
          <w:szCs w:val="24"/>
        </w:rPr>
        <w:t xml:space="preserve"/>
      </w:r>
    </w:p>
    <w:p>
      <w:pPr>
        <w:spacing w:after="120" w:before="240" w:line="276"/>
        <w:jc w:val="left"/>
      </w:pPr>
      <w:r>
        <w:rPr>
          <w:rFonts w:ascii="Times New Roman" w:cs="Times New Roman" w:eastAsia="Times New Roman" w:hAnsi="Times New Roman"/>
          <w:b/>
          <w:bCs/>
          <w:color w:val="000000"/>
          <w:sz w:val="24"/>
          <w:szCs w:val="24"/>
        </w:rPr>
        <w:t xml:space="preserve">El artículo sobre Estado, nación y desafíos estructurales en el Perú: validado y listo para publicación</w:t>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De los cinco trabajos que este capítulo describe, este es el único que ha completado su ciclo de revisión y está listo para su envío a revista. El proceso de validación que lo llevó a ese estado es ilustrativo de lo que significa la fusión entre investigador y herramienta.</w:t>
      </w:r>
    </w:p>
    <w:p>
      <w:pPr>
        <w:spacing w:after="80" w:before="0" w:line="276"/>
      </w:pPr>
      <w:r>
        <w:rPr>
          <w:rFonts w:ascii="Times New Roman" w:cs="Times New Roman" w:eastAsia="Times New Roman" w:hAnsi="Times New Roman"/>
          <w:sz w:val="24"/>
          <w:szCs w:val="24"/>
        </w:rPr>
        <w:t xml:space="preserve"/>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El argumento central del artículo -- que la fractura entre Estado y nación en el Perú no es una anomalía histórica sino un equilibrio político sostenido activamente por sectores dominantes durante dos siglos -- requirió que el investigador aportara el marco teórico de Quijano (2000) sobre colonialidad del poder, la distinción entre Virreinato y colonia de Alvarado Dodero (2017) y O'Phelan Godoy (2012), y la crítica a Dargent (2012) sobre capacidad estatal diferenciada. Fue el investigador quien detectó que el sistema había usado el término «colonia» sin la precisión historiográfica que el argumento requería. Fue el investigador quien aportó la corrección. El sistema la integró con fluidez académica.</w:t>
      </w:r>
    </w:p>
    <w:p>
      <w:pPr>
        <w:spacing w:after="80" w:before="0" w:line="276"/>
      </w:pPr>
      <w:r>
        <w:rPr>
          <w:rFonts w:ascii="Times New Roman" w:cs="Times New Roman" w:eastAsia="Times New Roman" w:hAnsi="Times New Roman"/>
          <w:sz w:val="24"/>
          <w:szCs w:val="24"/>
        </w:rPr>
        <w:t xml:space="preserve"/>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Ese ciclo -- producción, detección del error, corrección, reintegración -- se repitió múltiples veces a lo largo del proceso. El resultado es un artículo con cinco autores desde cinco disciplinas distintas, 19 referencias verificadas y un argumento que ninguno de los cinco autores hubiera producido solo ni el sistema hubiera producido sin ellos. La validación no fue el último paso -- fue el proceso mismo.</w:t>
      </w:r>
    </w:p>
    <w:p>
      <w:pPr>
        <w:spacing w:after="80" w:before="0" w:line="276"/>
      </w:pPr>
      <w:r>
        <w:rPr>
          <w:rFonts w:ascii="Times New Roman" w:cs="Times New Roman" w:eastAsia="Times New Roman" w:hAnsi="Times New Roman"/>
          <w:sz w:val="24"/>
          <w:szCs w:val="24"/>
        </w:rPr>
        <w:t xml:space="preserve"/>
      </w:r>
    </w:p>
    <w:p>
      <w:pPr>
        <w:spacing w:after="120" w:before="240" w:line="276"/>
        <w:jc w:val="left"/>
      </w:pPr>
      <w:r>
        <w:rPr>
          <w:rFonts w:ascii="Times New Roman" w:cs="Times New Roman" w:eastAsia="Times New Roman" w:hAnsi="Times New Roman"/>
          <w:b/>
          <w:bCs/>
          <w:color w:val="000000"/>
          <w:sz w:val="24"/>
          <w:szCs w:val="24"/>
        </w:rPr>
        <w:t xml:space="preserve">El artículo del Índice de Curvatura Social (ICS): en proceso de revisión y validación</w:t>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El ICS es la contribución metodológica más original de este proceso. Combina redes neuronales informadas por física (PINNs) con un Hamiltoniano Social para modelar la exclusión territorial en los 33 distritos rurales de Piura. Los datos -- ejecución presupuestal, NBI, ingreso per cápita, acceso a internet, tasas de anemia -- fueron aportados por el investigador desde archivos de campo propios y fuentes oficiales del MEF, el BCRP y el GORE Piura.</w:t>
      </w:r>
    </w:p>
    <w:p>
      <w:pPr>
        <w:spacing w:after="80" w:before="0" w:line="276"/>
      </w:pPr>
      <w:r>
        <w:rPr>
          <w:rFonts w:ascii="Times New Roman" w:cs="Times New Roman" w:eastAsia="Times New Roman" w:hAnsi="Times New Roman"/>
          <w:sz w:val="24"/>
          <w:szCs w:val="24"/>
        </w:rPr>
        <w:t xml:space="preserve"/>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El artículo está en proceso de revisión y validación. Eso no significa que el trabajo esté incompleto -- significa que el investigador está ejerciendo la responsabilidad que le corresponde. La validación convergente (r = -0.71 con el IDH; r = 0.68 con el NBI) fue realizada por el investigador sobre los datos reales, no generada por el sistema. La nota metodológica que distingue entre datos aportados y construcciones del modelo está siendo revisada para garantizar que el lector pueda saber exactamente cuál es cuál. Ese nivel de precisión no es burocracia académica -- es la condición que convierte un artículo interesante en un artículo científicamente sólido.</w:t>
      </w:r>
    </w:p>
    <w:p>
      <w:pPr>
        <w:spacing w:after="80" w:before="0" w:line="276"/>
      </w:pPr>
      <w:r>
        <w:rPr>
          <w:rFonts w:ascii="Times New Roman" w:cs="Times New Roman" w:eastAsia="Times New Roman" w:hAnsi="Times New Roman"/>
          <w:sz w:val="24"/>
          <w:szCs w:val="24"/>
        </w:rPr>
        <w:t xml:space="preserve"/>
      </w:r>
    </w:p>
    <w:p>
      <w:pPr>
        <w:spacing w:after="120" w:before="240" w:line="276"/>
        <w:jc w:val="left"/>
      </w:pPr>
      <w:r>
        <w:rPr>
          <w:rFonts w:ascii="Times New Roman" w:cs="Times New Roman" w:eastAsia="Times New Roman" w:hAnsi="Times New Roman"/>
          <w:b/>
          <w:bCs/>
          <w:color w:val="000000"/>
          <w:sz w:val="24"/>
          <w:szCs w:val="24"/>
        </w:rPr>
        <w:t xml:space="preserve">El artículo sobre planeamiento estratégico en Piura: en proceso de revisión y validación</w:t>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El segundo artículo aplicó el Índice de Brecha de Implementación (IBI) al PDC Piura 2022-2030. El hallazgo central -- una brecha media del 31%, con variaciones del 18% en infraestructura física al 52% en fortalecimiento institucional -- fue calculado por el investigador sobre datos del MEF y el Siseplan, no generado por el sistema. El sistema produjo el argumento académico que convierte ese hallazgo en contribución teórica.</w:t>
      </w:r>
    </w:p>
    <w:p>
      <w:pPr>
        <w:spacing w:after="80" w:before="0" w:line="276"/>
      </w:pPr>
      <w:r>
        <w:rPr>
          <w:rFonts w:ascii="Times New Roman" w:cs="Times New Roman" w:eastAsia="Times New Roman" w:hAnsi="Times New Roman"/>
          <w:sz w:val="24"/>
          <w:szCs w:val="24"/>
        </w:rPr>
        <w:t xml:space="preserve"/>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El artículo está en proceso de revisión. La revisión no es un signo de debilidad del proceso -- es la expresión de que el investigador está cumpliendo con la responsabilidad que asumió cuando decidió firmar el artículo con su nombre. Cada dato está siendo verificado. Cada referencia está siendo confirmada. Cada argumento está siendo evaluado frente a la literatura existente. Eso es lo que hace al investigador el guía del proceso, no un usuario pasivo de la herramienta.</w:t>
      </w:r>
    </w:p>
    <w:p>
      <w:pPr>
        <w:spacing w:after="160" w:before="0" w:line="276"/>
      </w:pPr>
      <w:r>
        <w:rPr>
          <w:rFonts w:ascii="Times New Roman" w:cs="Times New Roman" w:eastAsia="Times New Roman" w:hAnsi="Times New Roman"/>
          <w:sz w:val="24"/>
          <w:szCs w:val="24"/>
        </w:rPr>
        <w:t xml:space="preserve"/>
      </w:r>
    </w:p>
    <w:p>
      <w:pPr>
        <w:spacing w:after="160" w:before="320" w:line="276"/>
        <w:jc w:val="left"/>
      </w:pPr>
      <w:r>
        <w:rPr>
          <w:rFonts w:ascii="Times New Roman" w:cs="Times New Roman" w:eastAsia="Times New Roman" w:hAnsi="Times New Roman"/>
          <w:b/>
          <w:bCs/>
          <w:color w:val="000000"/>
          <w:sz w:val="26"/>
          <w:szCs w:val="26"/>
        </w:rPr>
        <w:t xml:space="preserve">6.3. La investigación territorial: herramienta y conocimiento situado</w:t>
      </w:r>
    </w:p>
    <w:p>
      <w:pPr>
        <w:spacing w:after="120" w:before="240" w:line="276"/>
        <w:jc w:val="left"/>
      </w:pPr>
      <w:r>
        <w:rPr>
          <w:rFonts w:ascii="Times New Roman" w:cs="Times New Roman" w:eastAsia="Times New Roman" w:hAnsi="Times New Roman"/>
          <w:b/>
          <w:bCs/>
          <w:color w:val="000000"/>
          <w:sz w:val="24"/>
          <w:szCs w:val="24"/>
        </w:rPr>
        <w:t xml:space="preserve">La Unidad Regional de Prospectiva: en proceso de revisión y validación</w:t>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La propuesta técnica para la Unidad Regional de Prospectiva del GORE Piura -- con presupuesto referencial de S/ 1,298,250 -- fue elaborada integrando información del CEPLAN y la experiencia del modelo de Singapur en planificación estratégica a largo plazo. El sistema organizó esa información en un documento con estructura metodológica basada en los estándares del Sinaplan. El investigador aportó el marco normativo -- la Ley 27867, el DL 1088, la Directiva CEPLAN 001-2024 -- y el conocimiento institucional sobre cómo funciona el GORE Piura en la práctica.</w:t>
      </w:r>
    </w:p>
    <w:p>
      <w:pPr>
        <w:spacing w:after="80" w:before="0" w:line="276"/>
      </w:pPr>
      <w:r>
        <w:rPr>
          <w:rFonts w:ascii="Times New Roman" w:cs="Times New Roman" w:eastAsia="Times New Roman" w:hAnsi="Times New Roman"/>
          <w:sz w:val="24"/>
          <w:szCs w:val="24"/>
        </w:rPr>
        <w:t xml:space="preserve"/>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La propuesta está en proceso de revisión y validación con actores institucionales. Ese proceso de validación no es un trámite -- es el momento en que el conocimiento académico se contrasta con la realidad institucional. Es el momento en que el investigador, que conoce el territorio, le pide al documento que rindan cuentas a quienes van a implementarlo. Ninguna herramienta puede hacer eso. Solo el investigador situado puede.</w:t>
      </w:r>
    </w:p>
    <w:p>
      <w:pPr>
        <w:spacing w:after="80" w:before="0" w:line="276"/>
      </w:pPr>
      <w:r>
        <w:rPr>
          <w:rFonts w:ascii="Times New Roman" w:cs="Times New Roman" w:eastAsia="Times New Roman" w:hAnsi="Times New Roman"/>
          <w:sz w:val="24"/>
          <w:szCs w:val="24"/>
        </w:rPr>
        <w:t xml:space="preserve"/>
      </w:r>
    </w:p>
    <w:p>
      <w:pPr>
        <w:spacing w:after="120" w:before="240" w:line="276"/>
        <w:jc w:val="left"/>
      </w:pPr>
      <w:r>
        <w:rPr>
          <w:rFonts w:ascii="Times New Roman" w:cs="Times New Roman" w:eastAsia="Times New Roman" w:hAnsi="Times New Roman"/>
          <w:b/>
          <w:bCs/>
          <w:color w:val="000000"/>
          <w:sz w:val="24"/>
          <w:szCs w:val="24"/>
        </w:rPr>
        <w:t xml:space="preserve">El sistema de monitoreo del Fenómeno El Niño: en proceso de revisión y validación</w:t>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El sistema de alerta temprana multiagente para el Fenómeno El Niño -- con agentes especializados en monitoreo hidrológico, alertas por niveles SAT y reportes al GORE Piura -- enfrenta un tipo de desafío distinto: no sólo académico sino técnico. El proceso de desarrollo encontró problemas con la configuración del entorno de trabajo (el cmd de Windows) que interrumpieron el flujo y obligaron al investigador a diagnosticar, corregir y retomar.</w:t>
      </w:r>
    </w:p>
    <w:p>
      <w:pPr>
        <w:spacing w:after="80" w:before="0" w:line="276"/>
      </w:pPr>
      <w:r>
        <w:rPr>
          <w:rFonts w:ascii="Times New Roman" w:cs="Times New Roman" w:eastAsia="Times New Roman" w:hAnsi="Times New Roman"/>
          <w:sz w:val="24"/>
          <w:szCs w:val="24"/>
        </w:rPr>
        <w:t xml:space="preserve"/>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Ese tipo de interrupción no es una anomalía del proceso -- es parte de él. Y la manera en que el investigador la enfrenta -- con diagnóstico sistemático, sin abandonar el objetivo -- es lo que determina si el proceso termina o no. El sistema está en proceso de revisión y validación con datos reales de las cuencas piuranas. Cuando ese proceso concluya, el resultado será un instrumento de gestión del riesgo que podría salvar vidas en la próxima emergencia climática. Ese es el valor de la fusión entre herramienta y conocimiento situado: no el artículo publicado, sino el impacto real en el territorio.</w:t>
      </w:r>
    </w:p>
    <w:p>
      <w:pPr>
        <w:spacing w:after="160" w:before="0" w:line="276"/>
      </w:pPr>
      <w:r>
        <w:rPr>
          <w:rFonts w:ascii="Times New Roman" w:cs="Times New Roman" w:eastAsia="Times New Roman" w:hAnsi="Times New Roman"/>
          <w:sz w:val="24"/>
          <w:szCs w:val="24"/>
        </w:rPr>
        <w:t xml:space="preserve"/>
      </w:r>
    </w:p>
    <w:p>
      <w:pPr>
        <w:spacing w:after="160" w:before="320" w:line="276"/>
        <w:jc w:val="left"/>
      </w:pPr>
      <w:r>
        <w:rPr>
          <w:rFonts w:ascii="Times New Roman" w:cs="Times New Roman" w:eastAsia="Times New Roman" w:hAnsi="Times New Roman"/>
          <w:b/>
          <w:bCs/>
          <w:color w:val="000000"/>
          <w:sz w:val="26"/>
          <w:szCs w:val="26"/>
        </w:rPr>
        <w:t xml:space="preserve">6.4. El denominador común: investigador + herramienta = proceso con valor</w:t>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Hay un patrón que atraviesa todos los casos descritos en este capítulo. No es la velocidad de producción ni la cantidad de páginas generadas. Es la calidad de la fusión entre el investigador y la herramienta.</w:t>
      </w:r>
    </w:p>
    <w:p>
      <w:pPr>
        <w:spacing w:after="80" w:before="0" w:line="276"/>
      </w:pPr>
      <w:r>
        <w:rPr>
          <w:rFonts w:ascii="Times New Roman" w:cs="Times New Roman" w:eastAsia="Times New Roman" w:hAnsi="Times New Roman"/>
          <w:sz w:val="24"/>
          <w:szCs w:val="24"/>
        </w:rPr>
        <w:t xml:space="preserve"/>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En cada caso, el investigador aportó lo que el sistema no tiene: el conocimiento disciplinario profundo, el dato de campo verificado, la precisión historiográfica crítica, el marco normativo institucional, la capacidad de detectar el error antes de que llegue al lector. Y en cada caso, el sistema aportó lo que el investigador por sí solo no puede hacer en el tiempo disponible: organizar grandes volúmenes de información heterogénea, redactar con fluidez académica, proponer marcos teóricos, detectar inconsistencias formales, emitir diagnósticos estructurados.</w:t>
      </w:r>
    </w:p>
    <w:p>
      <w:pPr>
        <w:spacing w:after="80" w:before="0" w:line="276"/>
      </w:pPr>
      <w:r>
        <w:rPr>
          <w:rFonts w:ascii="Times New Roman" w:cs="Times New Roman" w:eastAsia="Times New Roman" w:hAnsi="Times New Roman"/>
          <w:sz w:val="24"/>
          <w:szCs w:val="24"/>
        </w:rPr>
        <w:t xml:space="preserve"/>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La validación -- ese proceso que en la narrativa del éxito instantáneo aparece como un obstáculo -- es en realidad la más importante de las contribuciones del investigador al proceso. Es el momento en que el conocimiento humano ejerce su soberanía sobre la herramienta. Es el momento en que el investigador dice: esto está bien, esto necesita corrección, esto no es lo que yo conozco sobre el territorio. Esa soberanía es lo que convierte el output del sistema en un producto científico con valor.</w:t>
      </w:r>
    </w:p>
    <w:p>
      <w:pPr>
        <w:spacing w:after="80" w:before="0" w:line="276"/>
      </w:pPr>
      <w:r>
        <w:rPr>
          <w:rFonts w:ascii="Times New Roman" w:cs="Times New Roman" w:eastAsia="Times New Roman" w:hAnsi="Times New Roman"/>
          <w:sz w:val="24"/>
          <w:szCs w:val="24"/>
        </w:rPr>
        <w:t xml:space="preserve"/>
      </w:r>
    </w:p>
    <w:p>
      <w:pPr>
        <w:pBdr>
          <w:top w:val="single" w:color="1A2F4A" w:sz="4"/>
          <w:bottom w:val="single" w:color="1A2F4A" w:sz="4"/>
          <w:left w:val="single" w:color="1A2F4A" w:sz="6"/>
          <w:right w:val="single" w:color="1A2F4A" w:sz="6"/>
        </w:pBdr>
        <w:spacing w:after="200" w:before="120" w:line="276"/>
        <w:ind w:left="720" w:right="720"/>
        <w:jc w:val="both"/>
      </w:pPr>
      <w:r>
        <w:rPr>
          <w:rFonts w:ascii="Times New Roman" w:cs="Times New Roman" w:eastAsia="Times New Roman" w:hAnsi="Times New Roman"/>
          <w:i/>
          <w:iCs/>
          <w:color w:val="1A2F4A"/>
          <w:sz w:val="22"/>
          <w:szCs w:val="22"/>
        </w:rPr>
        <w:t xml:space="preserve">«El éxito no es la velocidad de la producción. Es la calidad de la validación. Y la validación es siempre responsabilidad del investigador.»</w:t>
      </w:r>
    </w:p>
    <w:p>
      <w:pPr>
        <w:spacing w:after="160" w:before="0" w:line="276"/>
      </w:pPr>
      <w:r>
        <w:rPr>
          <w:rFonts w:ascii="Times New Roman" w:cs="Times New Roman" w:eastAsia="Times New Roman" w:hAnsi="Times New Roman"/>
          <w:sz w:val="24"/>
          <w:szCs w:val="24"/>
        </w:rPr>
        <w:t xml:space="preserve"/>
      </w:r>
    </w:p>
    <w:p>
      <w:pPr>
        <w:spacing w:after="160" w:before="320" w:line="276"/>
        <w:jc w:val="left"/>
      </w:pPr>
      <w:r>
        <w:rPr>
          <w:rFonts w:ascii="Times New Roman" w:cs="Times New Roman" w:eastAsia="Times New Roman" w:hAnsi="Times New Roman"/>
          <w:b/>
          <w:bCs/>
          <w:color w:val="000000"/>
          <w:sz w:val="26"/>
          <w:szCs w:val="26"/>
        </w:rPr>
        <w:t xml:space="preserve">6.5. Lo que estos casos enseñan para la práctica</w:t>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Los cinco trabajos descritos en este capítulo comparten una lección que ninguno enseña por separado pero que todos enseñan juntos: el valor del proceso no está en el número de páginas generadas ni en la velocidad con que el sistema las produce. Está en la solidez del proceso de validación que el investigador conduce.</w:t>
      </w:r>
    </w:p>
    <w:p>
      <w:pPr>
        <w:spacing w:after="80" w:before="0" w:line="276"/>
      </w:pPr>
      <w:r>
        <w:rPr>
          <w:rFonts w:ascii="Times New Roman" w:cs="Times New Roman" w:eastAsia="Times New Roman" w:hAnsi="Times New Roman"/>
          <w:sz w:val="24"/>
          <w:szCs w:val="24"/>
        </w:rPr>
        <w:t xml:space="preserve"/>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Un artículo en proceso de revisión es un artículo cuyo investigador está cumpliendo con su responsabilidad. Una propuesta en proceso de validación institucional es una propuesta cuyo autor conoce que el conocimiento académico solo tiene valor cuando se contrasta con la realidad que pretende describir. Un sistema en proceso de corrección técnica es un sistema cuyo desarrollador entiende que la herramienta no es el fin -- es el medio.</w:t>
      </w:r>
    </w:p>
    <w:p>
      <w:pPr>
        <w:spacing w:after="80" w:before="0" w:line="276"/>
      </w:pPr>
      <w:r>
        <w:rPr>
          <w:rFonts w:ascii="Times New Roman" w:cs="Times New Roman" w:eastAsia="Times New Roman" w:hAnsi="Times New Roman"/>
          <w:sz w:val="24"/>
          <w:szCs w:val="24"/>
        </w:rPr>
        <w:t xml:space="preserve"/>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La IA ya está en Piura. Ya está en las aulas de UTP, en los procesos de consultoría del GORE, en los proyectos de investigación que buscan entender el territorio piurano con nuevas herramientas. La pregunta no es si llegará -- ya llegó. La pregunta es si los investigadores que ya la están usando saben que su valor no está en la herramienta. Está en ellos.</w:t>
      </w:r>
    </w:p>
    <w:p>
      <w:pPr>
        <w:spacing w:after="240" w:before="0" w:line="276"/>
      </w:pPr>
      <w:r>
        <w:rPr>
          <w:rFonts w:ascii="Times New Roman" w:cs="Times New Roman" w:eastAsia="Times New Roman" w:hAnsi="Times New Roman"/>
          <w:sz w:val="24"/>
          <w:szCs w:val="24"/>
        </w:rPr>
        <w:t xml:space="preserve"/>
      </w:r>
    </w:p>
    <w:p>
      <w:pPr>
        <w:spacing w:after="120" w:before="240" w:line="276"/>
        <w:jc w:val="left"/>
      </w:pPr>
      <w:r>
        <w:rPr>
          <w:rFonts w:ascii="Times New Roman" w:cs="Times New Roman" w:eastAsia="Times New Roman" w:hAnsi="Times New Roman"/>
          <w:b/>
          <w:bCs/>
          <w:color w:val="000000"/>
          <w:sz w:val="24"/>
          <w:szCs w:val="24"/>
        </w:rPr>
        <w:t xml:space="preserve">Referencias del capítulo</w:t>
      </w:r>
    </w:p>
    <w:p>
      <w:pPr>
        <w:spacing w:after="60" w:before="0" w:line="276"/>
      </w:pPr>
      <w:r>
        <w:rPr>
          <w:rFonts w:ascii="Times New Roman" w:cs="Times New Roman" w:eastAsia="Times New Roman" w:hAnsi="Times New Roman"/>
          <w:sz w:val="24"/>
          <w:szCs w:val="24"/>
        </w:rPr>
        <w:t xml:space="preserve"/>
      </w:r>
    </w:p>
    <w:p>
      <w:pPr>
        <w:spacing w:after="100" w:before="0" w:line="276"/>
        <w:ind w:left="720" w:hanging="720"/>
        <w:jc w:val="both"/>
      </w:pPr>
      <w:r>
        <w:rPr>
          <w:rFonts w:ascii="Times New Roman" w:cs="Times New Roman" w:eastAsia="Times New Roman" w:hAnsi="Times New Roman"/>
          <w:sz w:val="22"/>
          <w:szCs w:val="22"/>
        </w:rPr>
        <w:t xml:space="preserve">Alvarado Dodero, F. (2017). Los conceptos virreinato y colonia en el sujeto histórico Perú. Tesis doctoral, Universidad Pablo de Olavide, Sevilla.</w:t>
      </w:r>
    </w:p>
    <w:p>
      <w:pPr>
        <w:spacing w:after="100" w:before="0" w:line="276"/>
        <w:ind w:left="720" w:hanging="720"/>
        <w:jc w:val="both"/>
      </w:pPr>
      <w:r>
        <w:rPr>
          <w:rFonts w:ascii="Times New Roman" w:cs="Times New Roman" w:eastAsia="Times New Roman" w:hAnsi="Times New Roman"/>
          <w:sz w:val="22"/>
          <w:szCs w:val="22"/>
        </w:rPr>
        <w:t xml:space="preserve">CEPLAN (2024). Guía para la elaboración de indicadores de políticas nacionales y planes estratégicos. Centro Nacional de Planeamiento Estratégico.</w:t>
      </w:r>
    </w:p>
    <w:p>
      <w:pPr>
        <w:spacing w:after="100" w:before="0" w:line="276"/>
        <w:ind w:left="720" w:hanging="720"/>
        <w:jc w:val="both"/>
      </w:pPr>
      <w:r>
        <w:rPr>
          <w:rFonts w:ascii="Times New Roman" w:cs="Times New Roman" w:eastAsia="Times New Roman" w:hAnsi="Times New Roman"/>
          <w:sz w:val="22"/>
          <w:szCs w:val="22"/>
        </w:rPr>
        <w:t xml:space="preserve">ComexPerú (2026). Conectividad y brecha digital en regiones del Perú: Informe 2025-2026. Sociedad de Comercio Exterior del Perú.</w:t>
      </w:r>
    </w:p>
    <w:p>
      <w:pPr>
        <w:spacing w:after="100" w:before="0" w:line="276"/>
        <w:ind w:left="720" w:hanging="720"/>
        <w:jc w:val="both"/>
      </w:pPr>
      <w:r>
        <w:rPr>
          <w:rFonts w:ascii="Times New Roman" w:cs="Times New Roman" w:eastAsia="Times New Roman" w:hAnsi="Times New Roman"/>
          <w:sz w:val="22"/>
          <w:szCs w:val="22"/>
        </w:rPr>
        <w:t xml:space="preserve">Dargent, E. (2012). El Estado en el Perú: Una agenda de investigación. Debates en Sociología, 37, 181-198.</w:t>
      </w:r>
    </w:p>
    <w:p>
      <w:pPr>
        <w:spacing w:after="100" w:before="0" w:line="276"/>
        <w:ind w:left="720" w:hanging="720"/>
        <w:jc w:val="both"/>
      </w:pPr>
      <w:r>
        <w:rPr>
          <w:rFonts w:ascii="Times New Roman" w:cs="Times New Roman" w:eastAsia="Times New Roman" w:hAnsi="Times New Roman"/>
          <w:sz w:val="22"/>
          <w:szCs w:val="22"/>
        </w:rPr>
        <w:t xml:space="preserve">Evans, P. (1995). Embedded autonomy: States and industrial transformation. Princeton University Press.</w:t>
      </w:r>
    </w:p>
    <w:p>
      <w:pPr>
        <w:spacing w:after="100" w:before="0" w:line="276"/>
        <w:ind w:left="720" w:hanging="720"/>
        <w:jc w:val="both"/>
      </w:pPr>
      <w:r>
        <w:rPr>
          <w:rFonts w:ascii="Times New Roman" w:cs="Times New Roman" w:eastAsia="Times New Roman" w:hAnsi="Times New Roman"/>
          <w:sz w:val="22"/>
          <w:szCs w:val="22"/>
        </w:rPr>
        <w:t xml:space="preserve">MEF (2025). Consulta Amigable -- Ejecución del Gasto, Región Piura 2022-2025. Ministerio de Economía y Finanzas.</w:t>
      </w:r>
    </w:p>
    <w:p>
      <w:pPr>
        <w:spacing w:after="100" w:before="0" w:line="276"/>
        <w:ind w:left="720" w:hanging="720"/>
        <w:jc w:val="both"/>
      </w:pPr>
      <w:r>
        <w:rPr>
          <w:rFonts w:ascii="Times New Roman" w:cs="Times New Roman" w:eastAsia="Times New Roman" w:hAnsi="Times New Roman"/>
          <w:sz w:val="22"/>
          <w:szCs w:val="22"/>
        </w:rPr>
        <w:t xml:space="preserve">O'Phelan Godoy, S. (2012). La independencia del Perú: De los Borbones a Bolívar. IEP.</w:t>
      </w:r>
    </w:p>
    <w:p>
      <w:pPr>
        <w:spacing w:after="100" w:before="0" w:line="276"/>
        <w:ind w:left="720" w:hanging="720"/>
        <w:jc w:val="both"/>
      </w:pPr>
      <w:r>
        <w:rPr>
          <w:rFonts w:ascii="Times New Roman" w:cs="Times New Roman" w:eastAsia="Times New Roman" w:hAnsi="Times New Roman"/>
          <w:sz w:val="22"/>
          <w:szCs w:val="22"/>
        </w:rPr>
        <w:t xml:space="preserve">Quijano, A. (2000). Colonialidad del poder, eurocentrismo y América Latina. En E. Lander (Ed.), La colonialidad del saber (pp. 201-246). CLACSO.</w:t>
      </w:r>
    </w:p>
    <w:p>
      <w:pPr>
        <w:spacing w:after="320" w:before="0" w:line="276"/>
      </w:pPr>
      <w:r>
        <w:rPr>
          <w:rFonts w:ascii="Times New Roman" w:cs="Times New Roman" w:eastAsia="Times New Roman" w:hAnsi="Times New Roman"/>
          <w:sz w:val="24"/>
          <w:szCs w:val="24"/>
        </w:rPr>
        <w:t xml:space="preserve"/>
      </w:r>
    </w:p>
    <w:p>
      <w:pPr>
        <w:pBdr>
          <w:top w:val="single" w:color="1A2F4A" w:sz="4"/>
          <w:bottom w:val="single" w:color="1A2F4A" w:sz="4"/>
          <w:left w:val="single" w:color="1A2F4A" w:sz="6"/>
          <w:right w:val="single" w:color="1A2F4A" w:sz="6"/>
        </w:pBdr>
        <w:spacing w:after="200" w:before="120" w:line="276"/>
        <w:ind w:left="720" w:right="720"/>
        <w:jc w:val="both"/>
      </w:pPr>
      <w:r>
        <w:rPr>
          <w:rFonts w:ascii="Times New Roman" w:cs="Times New Roman" w:eastAsia="Times New Roman" w:hAnsi="Times New Roman"/>
          <w:i/>
          <w:iCs/>
          <w:color w:val="1A2F4A"/>
          <w:sz w:val="22"/>
          <w:szCs w:val="22"/>
        </w:rPr>
        <w:t xml:space="preserve">Fin del Capítulo 6 (versión revisada).
El Capítulo 7 — Agenda latinoamericana y visión de futuro — cierra el libro.
Espero sus observaciones para continuar.</w:t>
      </w:r>
    </w:p>
    <w:p>
      <w:r>
        <w:br w:type="page"/>
      </w:r>
    </w:p>
    <w:p>
      <w:pPr>
        <w:spacing w:after="200" w:before="400" w:line="276"/>
        <w:jc w:val="left"/>
      </w:pPr>
      <w:r>
        <w:rPr>
          <w:rFonts w:ascii="Times New Roman" w:cs="Times New Roman" w:eastAsia="Times New Roman" w:hAnsi="Times New Roman"/>
          <w:b/>
          <w:bCs/>
          <w:color w:val="000000"/>
          <w:sz w:val="28"/>
          <w:szCs w:val="28"/>
        </w:rPr>
        <w:t xml:space="preserve">Capítulo 7</w:t>
      </w:r>
    </w:p>
    <w:p>
      <w:pPr>
        <w:spacing w:after="240" w:before="0" w:line="276"/>
        <w:jc w:val="left"/>
      </w:pPr>
      <w:r>
        <w:rPr>
          <w:rFonts w:ascii="Times New Roman" w:cs="Times New Roman" w:eastAsia="Times New Roman" w:hAnsi="Times New Roman"/>
          <w:b/>
          <w:bCs/>
          <w:color w:val="1A2F4A"/>
          <w:sz w:val="32"/>
          <w:szCs w:val="32"/>
        </w:rPr>
        <w:t xml:space="preserve">Agenda latinoamericana y visión de futuro: soberanía tecnológica y formación de investigadores</w:t>
      </w:r>
    </w:p>
    <w:p>
      <w:pPr>
        <w:pBdr>
          <w:top w:val="single" w:color="1A2F4A" w:sz="4"/>
          <w:bottom w:val="single" w:color="1A2F4A" w:sz="4"/>
          <w:left w:val="single" w:color="1A2F4A" w:sz="6"/>
          <w:right w:val="single" w:color="1A2F4A" w:sz="6"/>
        </w:pBdr>
        <w:spacing w:after="200" w:before="120" w:line="276"/>
        <w:ind w:left="720" w:right="720"/>
        <w:jc w:val="both"/>
      </w:pPr>
      <w:r>
        <w:rPr>
          <w:rFonts w:ascii="Times New Roman" w:cs="Times New Roman" w:eastAsia="Times New Roman" w:hAnsi="Times New Roman"/>
          <w:i/>
          <w:iCs/>
          <w:color w:val="1A2F4A"/>
          <w:sz w:val="22"/>
          <w:szCs w:val="22"/>
        </w:rPr>
        <w:t xml:space="preserve">«La IA ya está aquí y no se va a ir. La pregunta no es si la academia latinoamericana va a usarla. La pregunta es si va a usarla bien, en sus propios términos, con sus propios protocolos y para sus propias preguntas.»
Manuel J. Sotomayor-Fernández</w:t>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Este es el último capítulo del libro. Y es el que mira más lejos: no hacia el proceso que este libro describió, sino hacia lo que ese proceso sugiere sobre el futuro de la investigación académica en América Latina.</w:t>
      </w:r>
    </w:p>
    <w:p>
      <w:pPr>
        <w:spacing w:after="80" w:before="0" w:line="276"/>
      </w:pPr>
      <w:r>
        <w:rPr>
          <w:rFonts w:ascii="Times New Roman" w:cs="Times New Roman" w:eastAsia="Times New Roman" w:hAnsi="Times New Roman"/>
          <w:sz w:val="24"/>
          <w:szCs w:val="24"/>
        </w:rPr>
        <w:t xml:space="preserve"/>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La experiencia narrada en estas páginas es la de un investigador social en Piura, Perú. Pero las preguntas que esa experiencia plantea no son regionales. Son preguntas que cualquier universidad latinoamericana que quiera estar a la altura de su momento histórico debería estar haciendóse: {&lt;}cómo formamos investigadores que sepan usar la IA sin ser controlados por ella? {&lt;}Cómo construimos soberanía tecnológica en un contexto donde los sistemas más poderosos son propiedad de empresas del norte global? {&lt;}Cómo garantizamos que la revolución de la IA en la academia latinoamericana no reproduzca y amplíe las desigualdades que ya existen?</w:t>
      </w:r>
    </w:p>
    <w:p>
      <w:pPr>
        <w:spacing w:after="80" w:before="0" w:line="276"/>
      </w:pPr>
      <w:r>
        <w:rPr>
          <w:rFonts w:ascii="Times New Roman" w:cs="Times New Roman" w:eastAsia="Times New Roman" w:hAnsi="Times New Roman"/>
          <w:sz w:val="24"/>
          <w:szCs w:val="24"/>
        </w:rPr>
        <w:t xml:space="preserve"/>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Esas preguntas no tienen respuesta fácil. Pero no tenerla no es excusa para no formularlas con urgencia.</w:t>
      </w:r>
    </w:p>
    <w:p>
      <w:pPr>
        <w:spacing w:after="160" w:before="0" w:line="276"/>
      </w:pPr>
      <w:r>
        <w:rPr>
          <w:rFonts w:ascii="Times New Roman" w:cs="Times New Roman" w:eastAsia="Times New Roman" w:hAnsi="Times New Roman"/>
          <w:sz w:val="24"/>
          <w:szCs w:val="24"/>
        </w:rPr>
        <w:t xml:space="preserve"/>
      </w:r>
    </w:p>
    <w:p>
      <w:pPr>
        <w:spacing w:after="160" w:before="320" w:line="276"/>
        <w:jc w:val="left"/>
      </w:pPr>
      <w:r>
        <w:rPr>
          <w:rFonts w:ascii="Times New Roman" w:cs="Times New Roman" w:eastAsia="Times New Roman" w:hAnsi="Times New Roman"/>
          <w:b/>
          <w:bCs/>
          <w:color w:val="000000"/>
          <w:sz w:val="26"/>
          <w:szCs w:val="26"/>
        </w:rPr>
        <w:t xml:space="preserve">7.1. Brechas tecnológicas: el mapa de lo que falta</w:t>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América Latina llega a la era de la IA con una deuda tecnológica acumulada de décadas. La conectividad es desigual: según datos de la CEPAL, la brecha entre zonas urbanas y rurales en acceso a internet sigue siendo superior al 30% en la mayoría de países de la región. Los equipos de cómputo disponibles en muchas universidades públicas latinoamericanas no están en condiciones de ejecutar modelos de lenguaje de gran escala de manera local. Y el costo de acceso a las APIs de los sistemas más potentes -- Anthropic, OpenAI, Google Gemini -- está denominado en dólares, en un continente donde la mayoría de los presupuestos institucionales están en monedas locales con capacidades adquisitivas muy distintas.</w:t>
      </w:r>
    </w:p>
    <w:p>
      <w:pPr>
        <w:spacing w:after="80" w:before="0" w:line="276"/>
      </w:pPr>
      <w:r>
        <w:rPr>
          <w:rFonts w:ascii="Times New Roman" w:cs="Times New Roman" w:eastAsia="Times New Roman" w:hAnsi="Times New Roman"/>
          <w:sz w:val="24"/>
          <w:szCs w:val="24"/>
        </w:rPr>
        <w:t xml:space="preserve"/>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Esas brechas no son abstractas. En Piura, el proyecto de instalación de banda ancha alcanza menos del 40% de avance (ComexPerú, 2026). En muchas universidades públicas del interior del país, el acceso a bases de datos académicas indexadas depende de suscripciones institucionales que no siempre se renuevan. Y el conocimiento para navegar la documentación técnica de los sistemas de IA -- que está predominantemente en inglés -- es todavía un privilegio de quienes tuvieron acceso a formación lingúística de calidad.</w:t>
      </w:r>
    </w:p>
    <w:p>
      <w:pPr>
        <w:spacing w:after="80" w:before="0" w:line="276"/>
      </w:pPr>
      <w:r>
        <w:rPr>
          <w:rFonts w:ascii="Times New Roman" w:cs="Times New Roman" w:eastAsia="Times New Roman" w:hAnsi="Times New Roman"/>
          <w:sz w:val="24"/>
          <w:szCs w:val="24"/>
        </w:rPr>
        <w:t xml:space="preserve"/>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Nombrar esas brechas no es pesimismo -- es el primer paso para cerrarlas. Y cerrarlas no requiere esperar a que la infraestructura llegue desde arriba: requiere que los investigadores que ya tienen acceso compartan lo que saben, documenten sus procesos en español, publiquen sus códigos en repositorios abiertos y construyan redes de colaboración que permitan a quienes tienen menos recursos acceder a los mismos resultados.</w:t>
      </w:r>
    </w:p>
    <w:p>
      <w:pPr>
        <w:spacing w:after="160" w:before="0" w:line="276"/>
      </w:pPr>
      <w:r>
        <w:rPr>
          <w:rFonts w:ascii="Times New Roman" w:cs="Times New Roman" w:eastAsia="Times New Roman" w:hAnsi="Times New Roman"/>
          <w:sz w:val="24"/>
          <w:szCs w:val="24"/>
        </w:rPr>
        <w:t xml:space="preserve"/>
      </w:r>
    </w:p>
    <w:p>
      <w:pPr>
        <w:spacing w:after="160" w:before="320" w:line="276"/>
        <w:jc w:val="left"/>
      </w:pPr>
      <w:r>
        <w:rPr>
          <w:rFonts w:ascii="Times New Roman" w:cs="Times New Roman" w:eastAsia="Times New Roman" w:hAnsi="Times New Roman"/>
          <w:b/>
          <w:bCs/>
          <w:color w:val="000000"/>
          <w:sz w:val="26"/>
          <w:szCs w:val="26"/>
        </w:rPr>
        <w:t xml:space="preserve">7.2. Soberanía tecnológica: el derecho a tener nuestras propias preguntas</w:t>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Hay una dimensión del debate sobre IA en América Latina que rara vez se nombra con la claridad que merece: el riesgo de que la adopción acrítica de sistemas diseñados en el norte global reproduzca, a nivel epistemológico, las mismas relaciones de dependencia que la colonialidad del poder instaló a nivel político y económico.</w:t>
      </w:r>
    </w:p>
    <w:p>
      <w:pPr>
        <w:spacing w:after="80" w:before="0" w:line="276"/>
      </w:pPr>
      <w:r>
        <w:rPr>
          <w:rFonts w:ascii="Times New Roman" w:cs="Times New Roman" w:eastAsia="Times New Roman" w:hAnsi="Times New Roman"/>
          <w:sz w:val="24"/>
          <w:szCs w:val="24"/>
        </w:rPr>
        <w:t xml:space="preserve"/>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Los modelos de lenguaje de gran escala fueron entrenados predominantemente con textos en inglés, producidos en contextos institucionales del norte global, que reflejan las preguntas, los métodos y los valores de esas tradiciones académicas. Cuando un investigador latinoamericano le pide a uno de esos modelos que le sugiera el marco teórico más adecuado para estudiar la exclusión territorial en Perú, el modelo va a recurrir a las teorías que tiene mejor representadas en su entrenamiento -- que no necesariamente son las más pertinentes para ese contexto.</w:t>
      </w:r>
    </w:p>
    <w:p>
      <w:pPr>
        <w:spacing w:after="80" w:before="0" w:line="276"/>
      </w:pPr>
      <w:r>
        <w:rPr>
          <w:rFonts w:ascii="Times New Roman" w:cs="Times New Roman" w:eastAsia="Times New Roman" w:hAnsi="Times New Roman"/>
          <w:sz w:val="24"/>
          <w:szCs w:val="24"/>
        </w:rPr>
        <w:t xml:space="preserve"/>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La soberanía tecnológica no significa rechazar la IA. Significa usarla de manera que nuestras preguntas, nuestros datos y nuestros marcos teóricos -- los de la sociología latinoamericana, la ecología política andina, la planificación territorial desde el sur -- sean los que le den dirección al sistema, no al revés. SciAgent es un intento, todavía incipiente, de construir esa soberanía: un sistema construido por un investigador latinoamericano, para preguntas latinoamericanas, con datos latinoamericanos, publicado en código abierto para que otros investigadores latinoamericanos puedan adaptarlo a sus propios contextos.</w:t>
      </w:r>
    </w:p>
    <w:p>
      <w:pPr>
        <w:spacing w:after="80" w:before="0" w:line="276"/>
      </w:pPr>
      <w:r>
        <w:rPr>
          <w:rFonts w:ascii="Times New Roman" w:cs="Times New Roman" w:eastAsia="Times New Roman" w:hAnsi="Times New Roman"/>
          <w:sz w:val="24"/>
          <w:szCs w:val="24"/>
        </w:rPr>
        <w:t xml:space="preserve"/>
      </w:r>
    </w:p>
    <w:p>
      <w:pPr>
        <w:pBdr>
          <w:top w:val="single" w:color="1A2F4A" w:sz="4"/>
          <w:bottom w:val="single" w:color="1A2F4A" w:sz="4"/>
          <w:left w:val="single" w:color="1A2F4A" w:sz="6"/>
          <w:right w:val="single" w:color="1A2F4A" w:sz="6"/>
        </w:pBdr>
        <w:spacing w:after="200" w:before="120" w:line="276"/>
        <w:ind w:left="720" w:right="720"/>
        <w:jc w:val="both"/>
      </w:pPr>
      <w:r>
        <w:rPr>
          <w:rFonts w:ascii="Times New Roman" w:cs="Times New Roman" w:eastAsia="Times New Roman" w:hAnsi="Times New Roman"/>
          <w:i/>
          <w:iCs/>
          <w:color w:val="1A2F4A"/>
          <w:sz w:val="22"/>
          <w:szCs w:val="22"/>
        </w:rPr>
        <w:t xml:space="preserve">«Soberanía tecnológica no significa rechazar la IA. Significa usarla de manera que nuestras preguntas le den dirección al sistema, no al revés.»</w:t>
      </w:r>
    </w:p>
    <w:p>
      <w:pPr>
        <w:spacing w:after="160" w:before="0" w:line="276"/>
      </w:pPr>
      <w:r>
        <w:rPr>
          <w:rFonts w:ascii="Times New Roman" w:cs="Times New Roman" w:eastAsia="Times New Roman" w:hAnsi="Times New Roman"/>
          <w:sz w:val="24"/>
          <w:szCs w:val="24"/>
        </w:rPr>
        <w:t xml:space="preserve"/>
      </w:r>
    </w:p>
    <w:p>
      <w:pPr>
        <w:spacing w:after="160" w:before="320" w:line="276"/>
        <w:jc w:val="left"/>
      </w:pPr>
      <w:r>
        <w:rPr>
          <w:rFonts w:ascii="Times New Roman" w:cs="Times New Roman" w:eastAsia="Times New Roman" w:hAnsi="Times New Roman"/>
          <w:b/>
          <w:bCs/>
          <w:color w:val="000000"/>
          <w:sz w:val="26"/>
          <w:szCs w:val="26"/>
        </w:rPr>
        <w:t xml:space="preserve">7.3. Formación de investigadores del futuro</w:t>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La pregunta más urgente para las universidades latinoamericanas no es cómo regular el uso de IA -- eso vendrá con el tiempo. La pregunta más urgente es cómo formar investigadores que sepan usarla bien.</w:t>
      </w:r>
    </w:p>
    <w:p>
      <w:pPr>
        <w:spacing w:after="80" w:before="0" w:line="276"/>
      </w:pPr>
      <w:r>
        <w:rPr>
          <w:rFonts w:ascii="Times New Roman" w:cs="Times New Roman" w:eastAsia="Times New Roman" w:hAnsi="Times New Roman"/>
          <w:sz w:val="24"/>
          <w:szCs w:val="24"/>
        </w:rPr>
        <w:t xml:space="preserve"/>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Ese tipo de formación no cabe en un curso de herramientas digitales ni en un taller de dos horas sobre «cómo usar ChatGPT para tu tesis». Requiere algo más profundo: una transformación en la manera en que los programas de posgrado conciben la competencia metodológica.</w:t>
      </w:r>
    </w:p>
    <w:p>
      <w:pPr>
        <w:spacing w:after="80" w:before="0" w:line="276"/>
      </w:pPr>
      <w:r>
        <w:rPr>
          <w:rFonts w:ascii="Times New Roman" w:cs="Times New Roman" w:eastAsia="Times New Roman" w:hAnsi="Times New Roman"/>
          <w:sz w:val="24"/>
          <w:szCs w:val="24"/>
        </w:rPr>
        <w:t xml:space="preserve"/>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Hoy, la competencia metodológica se define principalmente como la capacidad de diseñar estudios, recolectar datos, aplicar técnicas de análisis y redactar resultados. En el mundo en que los investigadores del futuro van a trabajar, esa definición es insuficiente. La competencia metodológica del siglo XXI incluye, además, la capacidad de diseñar procesos asistidos por IA, supervisar sus outputs con criterio crítico, validar sus resultados con protocoles explícitos y declarar con transparencia cómo se usó el sistema y qué responsabilidades asume el investigador sobre el producto final.</w:t>
      </w:r>
    </w:p>
    <w:p>
      <w:pPr>
        <w:spacing w:after="80" w:before="0" w:line="276"/>
      </w:pPr>
      <w:r>
        <w:rPr>
          <w:rFonts w:ascii="Times New Roman" w:cs="Times New Roman" w:eastAsia="Times New Roman" w:hAnsi="Times New Roman"/>
          <w:sz w:val="24"/>
          <w:szCs w:val="24"/>
        </w:rPr>
        <w:t xml:space="preserve"/>
      </w:r>
    </w:p>
    <w:p>
      <w:pPr>
        <w:spacing w:after="120" w:before="240" w:line="276"/>
        <w:jc w:val="left"/>
      </w:pPr>
      <w:r>
        <w:rPr>
          <w:rFonts w:ascii="Times New Roman" w:cs="Times New Roman" w:eastAsia="Times New Roman" w:hAnsi="Times New Roman"/>
          <w:b/>
          <w:bCs/>
          <w:color w:val="000000"/>
          <w:sz w:val="24"/>
          <w:szCs w:val="24"/>
        </w:rPr>
        <w:t xml:space="preserve">Lo que deben saber los investigadores del futuro</w:t>
      </w:r>
    </w:p>
    <w:p>
      <w:pPr>
        <w:spacing w:after="80" w:before="0" w:line="276"/>
        <w:ind w:left="720" w:right="720"/>
        <w:jc w:val="both"/>
      </w:pPr>
      <w:r>
        <w:rPr>
          <w:rFonts w:ascii="Times New Roman" w:cs="Times New Roman" w:eastAsia="Times New Roman" w:hAnsi="Times New Roman"/>
          <w:b w:val="false"/>
          <w:bCs w:val="false"/>
          <w:i w:val="false"/>
          <w:iCs w:val="false"/>
          <w:color w:val="000000"/>
          <w:sz w:val="24"/>
          <w:szCs w:val="24"/>
        </w:rPr>
        <w:t xml:space="preserve">Primero: conocer las limitaciones de los sistemas de IA antes de usarlos. Las alucinaciones, los sesgos de confirmación, la dependencia tecnológica y los riesgos éticos no son problemas que se aprenden cuando ya ocurrieron -- deben conocerse antes de que ocurran.</w:t>
      </w:r>
    </w:p>
    <w:p>
      <w:pPr>
        <w:spacing w:after="80" w:before="0" w:line="276"/>
        <w:ind w:left="720" w:right="720"/>
        <w:jc w:val="both"/>
      </w:pPr>
      <w:r>
        <w:rPr>
          <w:rFonts w:ascii="Times New Roman" w:cs="Times New Roman" w:eastAsia="Times New Roman" w:hAnsi="Times New Roman"/>
          <w:b w:val="false"/>
          <w:bCs w:val="false"/>
          <w:i w:val="false"/>
          <w:iCs w:val="false"/>
          <w:color w:val="000000"/>
          <w:sz w:val="24"/>
          <w:szCs w:val="24"/>
        </w:rPr>
        <w:t xml:space="preserve">Segundo: mantener el conocimiento disciplinario como condición de uso. Un investigador que no domina su campo no puede detectar los errores del sistema. La IA amplifica el conocimiento existente -- no lo crea desde cero.</w:t>
      </w:r>
    </w:p>
    <w:p>
      <w:pPr>
        <w:spacing w:after="80" w:before="0" w:line="276"/>
        <w:ind w:left="720" w:right="720"/>
        <w:jc w:val="both"/>
      </w:pPr>
      <w:r>
        <w:rPr>
          <w:rFonts w:ascii="Times New Roman" w:cs="Times New Roman" w:eastAsia="Times New Roman" w:hAnsi="Times New Roman"/>
          <w:b w:val="false"/>
          <w:bCs w:val="false"/>
          <w:i w:val="false"/>
          <w:iCs w:val="false"/>
          <w:color w:val="000000"/>
          <w:sz w:val="24"/>
          <w:szCs w:val="24"/>
        </w:rPr>
        <w:t xml:space="preserve">Tercero: desarrollar protocolos de validación propios, adaptados a su disciplina y a su contexto institucional. Los protocolos universales son puntos de partida, no recetas definitivas.</w:t>
      </w:r>
    </w:p>
    <w:p>
      <w:pPr>
        <w:spacing w:after="80" w:before="0" w:line="276"/>
        <w:ind w:left="720" w:right="720"/>
        <w:jc w:val="both"/>
      </w:pPr>
      <w:r>
        <w:rPr>
          <w:rFonts w:ascii="Times New Roman" w:cs="Times New Roman" w:eastAsia="Times New Roman" w:hAnsi="Times New Roman"/>
          <w:b w:val="false"/>
          <w:bCs w:val="false"/>
          <w:i w:val="false"/>
          <w:iCs w:val="false"/>
          <w:color w:val="000000"/>
          <w:sz w:val="24"/>
          <w:szCs w:val="24"/>
        </w:rPr>
        <w:t xml:space="preserve">Cuarto: practicar la transparencia como valor, no como formalidad. Declarar el uso de IA, publicar los códigos, documentar los procesos -- no porque lo exija la revista, sino porque es la única postura intelectualmente honesta.</w:t>
      </w:r>
    </w:p>
    <w:p>
      <w:pPr>
        <w:spacing w:after="80" w:before="0" w:line="276"/>
        <w:ind w:left="720" w:right="720"/>
        <w:jc w:val="both"/>
      </w:pPr>
      <w:r>
        <w:rPr>
          <w:rFonts w:ascii="Times New Roman" w:cs="Times New Roman" w:eastAsia="Times New Roman" w:hAnsi="Times New Roman"/>
          <w:b w:val="false"/>
          <w:bCs w:val="false"/>
          <w:i w:val="false"/>
          <w:iCs w:val="false"/>
          <w:color w:val="000000"/>
          <w:sz w:val="24"/>
          <w:szCs w:val="24"/>
        </w:rPr>
        <w:t xml:space="preserve">Quinto: aprender haciendo, con disposición a equivocarse y a documentar los errores. El conocimiento que produce el error es, con frecuencia, más valioso que el que produce el éxito.</w:t>
      </w:r>
    </w:p>
    <w:p>
      <w:pPr>
        <w:spacing w:after="160" w:before="0" w:line="276"/>
      </w:pPr>
      <w:r>
        <w:rPr>
          <w:rFonts w:ascii="Times New Roman" w:cs="Times New Roman" w:eastAsia="Times New Roman" w:hAnsi="Times New Roman"/>
          <w:sz w:val="24"/>
          <w:szCs w:val="24"/>
        </w:rPr>
        <w:t xml:space="preserve"/>
      </w:r>
    </w:p>
    <w:p>
      <w:pPr>
        <w:spacing w:after="160" w:before="320" w:line="276"/>
        <w:jc w:val="left"/>
      </w:pPr>
      <w:r>
        <w:rPr>
          <w:rFonts w:ascii="Times New Roman" w:cs="Times New Roman" w:eastAsia="Times New Roman" w:hAnsi="Times New Roman"/>
          <w:b/>
          <w:bCs/>
          <w:color w:val="000000"/>
          <w:sz w:val="26"/>
          <w:szCs w:val="26"/>
        </w:rPr>
        <w:t xml:space="preserve">7.4. Ecosistemas colaborativos: la agenda que viene</w:t>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Ningún investigador construye soberanía tecnológica solo. El paso siguiente a lo que este libro describe es la construcción de ecosistemas colaborativos -- redes de investigadores latinoamericanos que compartan códigos, protocolos, datos y experiencias -- que permitan que los avances de uno sean el punto de partida del siguiente.</w:t>
      </w:r>
    </w:p>
    <w:p>
      <w:pPr>
        <w:spacing w:after="80" w:before="0" w:line="276"/>
      </w:pPr>
      <w:r>
        <w:rPr>
          <w:rFonts w:ascii="Times New Roman" w:cs="Times New Roman" w:eastAsia="Times New Roman" w:hAnsi="Times New Roman"/>
          <w:sz w:val="24"/>
          <w:szCs w:val="24"/>
        </w:rPr>
        <w:t xml:space="preserve"/>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SciAgent está en GitHub. Eso no es un dato técnico -- es una decisión política. Cualquier investigador latinoamericano con acceso a internet puede clonarlo, adaptarlo a su disciplina, mejorarlo y publicar esa mejora para que otros la usen. Ese modelo de desarrollo colaborativo y abierto es la respuesta más eficaz a la brecha tecnológica: no esperar a que la infraestructura llegue desde arriba, sino construir desde abajo las herramientas que la región necesita.</w:t>
      </w:r>
    </w:p>
    <w:p>
      <w:pPr>
        <w:spacing w:after="80" w:before="0" w:line="276"/>
      </w:pPr>
      <w:r>
        <w:rPr>
          <w:rFonts w:ascii="Times New Roman" w:cs="Times New Roman" w:eastAsia="Times New Roman" w:hAnsi="Times New Roman"/>
          <w:sz w:val="24"/>
          <w:szCs w:val="24"/>
        </w:rPr>
        <w:t xml:space="preserve"/>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Las líneas de acción que este libro propone para esa agenda son cinco. La primera es la creación de repositorios de sistemas multiagente en español, adaptados a los contextos disciplinarios e institucionales de América Latina. La segunda es el desarrollo de protocolos de validación específicos para las disciplinas que más usan IA -- ciencias sociales, educación, salud pública, gestión ambiental. La tercera es la incorporación explícita de la competencia en IA crítica en los programas de posgrado de la región. La cuarta es la construcción de redes de revisión cruzada humano-IA entre pares académicos de distintas instituciones. Y la quinta -- la más urgente -- es el debate público dentro de las universidades sobre los límites éticos del uso de IA en la producción científica, antes de que esos límites sean definidos por otros.</w:t>
      </w:r>
    </w:p>
    <w:p>
      <w:pPr>
        <w:spacing w:after="160" w:before="0" w:line="276"/>
      </w:pPr>
      <w:r>
        <w:rPr>
          <w:rFonts w:ascii="Times New Roman" w:cs="Times New Roman" w:eastAsia="Times New Roman" w:hAnsi="Times New Roman"/>
          <w:sz w:val="24"/>
          <w:szCs w:val="24"/>
        </w:rPr>
        <w:t xml:space="preserve"/>
      </w:r>
    </w:p>
    <w:p>
      <w:pPr>
        <w:spacing w:after="160" w:before="320" w:line="276"/>
        <w:jc w:val="left"/>
      </w:pPr>
      <w:r>
        <w:rPr>
          <w:rFonts w:ascii="Times New Roman" w:cs="Times New Roman" w:eastAsia="Times New Roman" w:hAnsi="Times New Roman"/>
          <w:b/>
          <w:bCs/>
          <w:color w:val="000000"/>
          <w:sz w:val="26"/>
          <w:szCs w:val="26"/>
        </w:rPr>
        <w:t xml:space="preserve">7.5. Reflexión final: un libro que es una invitación</w:t>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Este libro comenzó con una pregunta simple: {&lt;}cómo puedo usar la IA para mi práctica docente y profesional? Y terminó -- siete capítulos después -- con una propuesta de agenda regional que va mucho más allá de esa pregunta inicial.</w:t>
      </w:r>
    </w:p>
    <w:p>
      <w:pPr>
        <w:spacing w:after="80" w:before="0" w:line="276"/>
      </w:pPr>
      <w:r>
        <w:rPr>
          <w:rFonts w:ascii="Times New Roman" w:cs="Times New Roman" w:eastAsia="Times New Roman" w:hAnsi="Times New Roman"/>
          <w:sz w:val="24"/>
          <w:szCs w:val="24"/>
        </w:rPr>
        <w:t xml:space="preserve"/>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Ese recorrido -- del asombro individual a la propuesta colectiva -- es el arco del libro. Y ese arco tiene una enseñanza que quiero dejar explícita: el aprendizaje situado no es solo una teoría académica. Es la descripción de cómo ocurre el conocimiento real. No en los manuales, sino en la práctica. No en la planificación perfecta, sino en el error y la corrección. No en el individuo aislado, sino en el diálogo con otros -- colegas, asesores, sistemas, lectores.</w:t>
      </w:r>
    </w:p>
    <w:p>
      <w:pPr>
        <w:spacing w:after="80" w:before="0" w:line="276"/>
      </w:pPr>
      <w:r>
        <w:rPr>
          <w:rFonts w:ascii="Times New Roman" w:cs="Times New Roman" w:eastAsia="Times New Roman" w:hAnsi="Times New Roman"/>
          <w:sz w:val="24"/>
          <w:szCs w:val="24"/>
        </w:rPr>
        <w:t xml:space="preserve"/>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La inteligencia artificial no va a reemplazar a los investigadores latinoamericanos. Va a cambiar lo que significa ser un investigador latinoamericano. Ese cambio ya está ocurriendo. Este libro es un testimonio de cómo ocurrió en un caso concreto, en una región concreta, desde una disciplina concreta. La invitación es a que otros investigadores cuenten el suyo.</w:t>
      </w:r>
    </w:p>
    <w:p>
      <w:pPr>
        <w:spacing w:after="80" w:before="0" w:line="276"/>
      </w:pPr>
      <w:r>
        <w:rPr>
          <w:rFonts w:ascii="Times New Roman" w:cs="Times New Roman" w:eastAsia="Times New Roman" w:hAnsi="Times New Roman"/>
          <w:sz w:val="24"/>
          <w:szCs w:val="24"/>
        </w:rPr>
        <w:t xml:space="preserve"/>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Porque la soberanía tecnológica de América Latina no la va a construir ninguna institución sola. La van a construir los investigadores que decidan, uno por uno, aprender haciendo -- y documentar lo que aprendieron para que el siguiente no tenga que empezar desde cero.</w:t>
      </w:r>
    </w:p>
    <w:p>
      <w:pPr>
        <w:spacing w:after="240" w:before="0" w:line="276"/>
      </w:pPr>
      <w:r>
        <w:rPr>
          <w:rFonts w:ascii="Times New Roman" w:cs="Times New Roman" w:eastAsia="Times New Roman" w:hAnsi="Times New Roman"/>
          <w:sz w:val="24"/>
          <w:szCs w:val="24"/>
        </w:rPr>
        <w:t xml:space="preserve"/>
      </w:r>
    </w:p>
    <w:p>
      <w:pPr>
        <w:pBdr>
          <w:top w:val="single" w:color="1A2F4A" w:sz="4"/>
          <w:bottom w:val="single" w:color="1A2F4A" w:sz="4"/>
          <w:left w:val="single" w:color="1A2F4A" w:sz="6"/>
          <w:right w:val="single" w:color="1A2F4A" w:sz="6"/>
        </w:pBdr>
        <w:spacing w:after="200" w:before="120" w:line="276"/>
        <w:ind w:left="720" w:right="720"/>
        <w:jc w:val="both"/>
      </w:pPr>
      <w:r>
        <w:rPr>
          <w:rFonts w:ascii="Times New Roman" w:cs="Times New Roman" w:eastAsia="Times New Roman" w:hAnsi="Times New Roman"/>
          <w:i/>
          <w:iCs/>
          <w:color w:val="1A2F4A"/>
          <w:sz w:val="22"/>
          <w:szCs w:val="22"/>
        </w:rPr>
        <w:t xml:space="preserve">«Di un cambio. Y si lo repitiera mañana, llegaría más preparado.
Eso también es parte del aprendizaje.»
Manuel J. Sotomayor-Fernández</w:t>
      </w:r>
    </w:p>
    <w:p>
      <w:pPr>
        <w:spacing w:after="320" w:before="0" w:line="276"/>
      </w:pPr>
      <w:r>
        <w:rPr>
          <w:rFonts w:ascii="Times New Roman" w:cs="Times New Roman" w:eastAsia="Times New Roman" w:hAnsi="Times New Roman"/>
          <w:sz w:val="24"/>
          <w:szCs w:val="24"/>
        </w:rPr>
        <w:t xml:space="preserve"/>
      </w:r>
    </w:p>
    <w:p>
      <w:pPr>
        <w:spacing w:after="120" w:before="240" w:line="276"/>
        <w:jc w:val="left"/>
      </w:pPr>
      <w:r>
        <w:rPr>
          <w:rFonts w:ascii="Times New Roman" w:cs="Times New Roman" w:eastAsia="Times New Roman" w:hAnsi="Times New Roman"/>
          <w:b/>
          <w:bCs/>
          <w:color w:val="000000"/>
          <w:sz w:val="24"/>
          <w:szCs w:val="24"/>
        </w:rPr>
        <w:t xml:space="preserve">Referencias del capítulo</w:t>
      </w:r>
    </w:p>
    <w:p>
      <w:pPr>
        <w:spacing w:after="60" w:before="0" w:line="276"/>
      </w:pPr>
      <w:r>
        <w:rPr>
          <w:rFonts w:ascii="Times New Roman" w:cs="Times New Roman" w:eastAsia="Times New Roman" w:hAnsi="Times New Roman"/>
          <w:sz w:val="24"/>
          <w:szCs w:val="24"/>
        </w:rPr>
        <w:t xml:space="preserve"/>
      </w:r>
    </w:p>
    <w:p>
      <w:pPr>
        <w:spacing w:after="100" w:before="0" w:line="276"/>
        <w:ind w:left="720" w:hanging="720"/>
        <w:jc w:val="both"/>
      </w:pPr>
      <w:r>
        <w:rPr>
          <w:rFonts w:ascii="Times New Roman" w:cs="Times New Roman" w:eastAsia="Times New Roman" w:hAnsi="Times New Roman"/>
          <w:sz w:val="22"/>
          <w:szCs w:val="22"/>
        </w:rPr>
        <w:t xml:space="preserve">CEPAL (2023). Perspectivas económicas de América Latina 2023: Invirtiendo en una transición sostenible. Comisión Económica para América Latina y el Caribe.</w:t>
      </w:r>
    </w:p>
    <w:p>
      <w:pPr>
        <w:spacing w:after="100" w:before="0" w:line="276"/>
        <w:ind w:left="720" w:hanging="720"/>
        <w:jc w:val="both"/>
      </w:pPr>
      <w:r>
        <w:rPr>
          <w:rFonts w:ascii="Times New Roman" w:cs="Times New Roman" w:eastAsia="Times New Roman" w:hAnsi="Times New Roman"/>
          <w:sz w:val="22"/>
          <w:szCs w:val="22"/>
        </w:rPr>
        <w:t xml:space="preserve">ComexPerú (2026). Conectividad y brecha digital en regiones del Perú: Informe 2025-2026. Sociedad de Comercio Exterior del Perú.</w:t>
      </w:r>
    </w:p>
    <w:p>
      <w:pPr>
        <w:spacing w:after="100" w:before="0" w:line="276"/>
        <w:ind w:left="720" w:hanging="720"/>
        <w:jc w:val="both"/>
      </w:pPr>
      <w:r>
        <w:rPr>
          <w:rFonts w:ascii="Times New Roman" w:cs="Times New Roman" w:eastAsia="Times New Roman" w:hAnsi="Times New Roman"/>
          <w:sz w:val="22"/>
          <w:szCs w:val="22"/>
        </w:rPr>
        <w:t xml:space="preserve">Lave, J. y Wenger, E. (1991). Situated learning: Legitimate peripheral participation. Cambridge University Press.</w:t>
      </w:r>
    </w:p>
    <w:p>
      <w:pPr>
        <w:spacing w:after="100" w:before="0" w:line="276"/>
        <w:ind w:left="720" w:hanging="720"/>
        <w:jc w:val="both"/>
      </w:pPr>
      <w:r>
        <w:rPr>
          <w:rFonts w:ascii="Times New Roman" w:cs="Times New Roman" w:eastAsia="Times New Roman" w:hAnsi="Times New Roman"/>
          <w:sz w:val="22"/>
          <w:szCs w:val="22"/>
        </w:rPr>
        <w:t xml:space="preserve">Luckin, R. (2018). Machine learning and human intelligence: The future of education for the 21st century. UCL Institute of Education Press.</w:t>
      </w:r>
    </w:p>
    <w:p>
      <w:pPr>
        <w:spacing w:after="100" w:before="0" w:line="276"/>
        <w:ind w:left="720" w:hanging="720"/>
        <w:jc w:val="both"/>
      </w:pPr>
      <w:r>
        <w:rPr>
          <w:rFonts w:ascii="Times New Roman" w:cs="Times New Roman" w:eastAsia="Times New Roman" w:hAnsi="Times New Roman"/>
          <w:sz w:val="22"/>
          <w:szCs w:val="22"/>
        </w:rPr>
        <w:t xml:space="preserve">Quijano, A. (2000). Colonialidad del poder, eurocentrismo y América Latina. En E. Lander (Ed.), La colonialidad del saber (pp. 201-246). CLACSO.</w:t>
      </w:r>
    </w:p>
    <w:p>
      <w:pPr>
        <w:spacing w:after="100" w:before="0" w:line="276"/>
        <w:ind w:left="720" w:hanging="720"/>
        <w:jc w:val="both"/>
      </w:pPr>
      <w:r>
        <w:rPr>
          <w:rFonts w:ascii="Times New Roman" w:cs="Times New Roman" w:eastAsia="Times New Roman" w:hAnsi="Times New Roman"/>
          <w:sz w:val="22"/>
          <w:szCs w:val="22"/>
        </w:rPr>
        <w:t xml:space="preserve">Rojas, C. y Chiappe, A. (2024). Ecosistemas digitales e inteligencia artificial en la educación superior latinoamericana. Edutec. Revista Electrónica de Tecnología Educativa, 87, 1-19.</w:t>
      </w:r>
    </w:p>
    <w:p>
      <w:pPr>
        <w:spacing w:after="100" w:before="0" w:line="276"/>
        <w:ind w:left="720" w:hanging="720"/>
        <w:jc w:val="both"/>
      </w:pPr>
      <w:r>
        <w:rPr>
          <w:rFonts w:ascii="Times New Roman" w:cs="Times New Roman" w:eastAsia="Times New Roman" w:hAnsi="Times New Roman"/>
          <w:sz w:val="22"/>
          <w:szCs w:val="22"/>
        </w:rPr>
        <w:t xml:space="preserve">Selwyn, N. (2019). Should robots replace teachers? AI and the future of education. Polity Press.</w:t>
      </w:r>
    </w:p>
    <w:p>
      <w:pPr>
        <w:spacing w:after="100" w:before="0" w:line="276"/>
        <w:ind w:left="720" w:hanging="720"/>
        <w:jc w:val="both"/>
      </w:pPr>
      <w:r>
        <w:rPr>
          <w:rFonts w:ascii="Times New Roman" w:cs="Times New Roman" w:eastAsia="Times New Roman" w:hAnsi="Times New Roman"/>
          <w:sz w:val="22"/>
          <w:szCs w:val="22"/>
        </w:rPr>
        <w:t xml:space="preserve">Zawacki-Richter, O., Marín, V. I., Bond, M. y Gouverneur, F. (2019). Systematic review of research on artificial intelligence applications in higher education. International Journal of Educational Technology in Higher Education, 16, 39. https://doi.org/10.1186/s41239-019-0171-0</w:t>
      </w:r>
    </w:p>
    <w:p>
      <w:pPr>
        <w:spacing w:after="320" w:before="0" w:line="276"/>
      </w:pPr>
      <w:r>
        <w:rPr>
          <w:rFonts w:ascii="Times New Roman" w:cs="Times New Roman" w:eastAsia="Times New Roman" w:hAnsi="Times New Roman"/>
          <w:sz w:val="24"/>
          <w:szCs w:val="24"/>
        </w:rPr>
        <w:t xml:space="preserve"/>
      </w:r>
    </w:p>
    <w:p>
      <w:r>
        <w:br w:type="page"/>
      </w:r>
    </w:p>
    <w:p>
      <w:pPr>
        <w:spacing w:after="240" w:before="0" w:line="276"/>
        <w:jc w:val="left"/>
      </w:pPr>
      <w:r>
        <w:rPr>
          <w:rFonts w:ascii="Times New Roman" w:cs="Times New Roman" w:eastAsia="Times New Roman" w:hAnsi="Times New Roman"/>
          <w:b/>
          <w:bCs/>
          <w:color w:val="000000"/>
          <w:sz w:val="28"/>
          <w:szCs w:val="28"/>
        </w:rPr>
        <w:t xml:space="preserve">Referencias generales del libro</w:t>
      </w:r>
    </w:p>
    <w:p>
      <w:pPr>
        <w:spacing w:after="160" w:before="0" w:line="276"/>
        <w:ind/>
        <w:jc w:val="both"/>
      </w:pPr>
      <w:r>
        <w:rPr>
          <w:rFonts w:ascii="Times New Roman" w:cs="Times New Roman" w:eastAsia="Times New Roman" w:hAnsi="Times New Roman"/>
          <w:b w:val="false"/>
          <w:bCs w:val="false"/>
          <w:i/>
          <w:iCs/>
          <w:color w:val="000000"/>
          <w:sz w:val="24"/>
          <w:szCs w:val="24"/>
        </w:rPr>
        <w:t xml:space="preserve">Las siguientes referencias son comunes a más de un capítulo y se listan aquí de forma integrada. Las referencias específicas de cada capítulo aparecen al final de cada uno de ellos.</w:t>
      </w:r>
    </w:p>
    <w:p>
      <w:pPr>
        <w:spacing w:after="100" w:before="0" w:line="276"/>
        <w:ind w:left="720" w:hanging="720"/>
        <w:jc w:val="both"/>
      </w:pPr>
      <w:r>
        <w:rPr>
          <w:rFonts w:ascii="Times New Roman" w:cs="Times New Roman" w:eastAsia="Times New Roman" w:hAnsi="Times New Roman"/>
          <w:sz w:val="22"/>
          <w:szCs w:val="22"/>
        </w:rPr>
        <w:t xml:space="preserve">Alvarado Dodero, F. (2017). Los conceptos virreinato y colonia en el sujeto histórico Perú. Tesis doctoral, Universidad Pablo de Olavide, Sevilla.</w:t>
      </w:r>
    </w:p>
    <w:p>
      <w:pPr>
        <w:spacing w:after="100" w:before="0" w:line="276"/>
        <w:ind w:left="720" w:hanging="720"/>
        <w:jc w:val="both"/>
      </w:pPr>
      <w:r>
        <w:rPr>
          <w:rFonts w:ascii="Times New Roman" w:cs="Times New Roman" w:eastAsia="Times New Roman" w:hAnsi="Times New Roman"/>
          <w:sz w:val="22"/>
          <w:szCs w:val="22"/>
        </w:rPr>
        <w:t xml:space="preserve">Anthropic (2026). Claude: AI assistant (claude-sonnet-4-6). Anthropic PBC.</w:t>
      </w:r>
    </w:p>
    <w:p>
      <w:pPr>
        <w:spacing w:after="100" w:before="0" w:line="276"/>
        <w:ind w:left="720" w:hanging="720"/>
        <w:jc w:val="both"/>
      </w:pPr>
      <w:r>
        <w:rPr>
          <w:rFonts w:ascii="Times New Roman" w:cs="Times New Roman" w:eastAsia="Times New Roman" w:hAnsi="Times New Roman"/>
          <w:sz w:val="22"/>
          <w:szCs w:val="22"/>
        </w:rPr>
        <w:t xml:space="preserve">Ausubel, D., Novak, J. y Hanesian, H. (1983). Psicología educativa: Un punto de vista cognoscitivo (2a ed.). Trillas.</w:t>
      </w:r>
    </w:p>
    <w:p>
      <w:pPr>
        <w:spacing w:after="100" w:before="0" w:line="276"/>
        <w:ind w:left="720" w:hanging="720"/>
        <w:jc w:val="both"/>
      </w:pPr>
      <w:r>
        <w:rPr>
          <w:rFonts w:ascii="Times New Roman" w:cs="Times New Roman" w:eastAsia="Times New Roman" w:hAnsi="Times New Roman"/>
          <w:sz w:val="22"/>
          <w:szCs w:val="22"/>
        </w:rPr>
        <w:t xml:space="preserve">Basadre, J. (1968). Historia de la república del Perú 1822-1933 (6a ed.). Editorial Universitaria.</w:t>
      </w:r>
    </w:p>
    <w:p>
      <w:pPr>
        <w:spacing w:after="100" w:before="0" w:line="276"/>
        <w:ind w:left="720" w:hanging="720"/>
        <w:jc w:val="both"/>
      </w:pPr>
      <w:r>
        <w:rPr>
          <w:rFonts w:ascii="Times New Roman" w:cs="Times New Roman" w:eastAsia="Times New Roman" w:hAnsi="Times New Roman"/>
          <w:sz w:val="22"/>
          <w:szCs w:val="22"/>
        </w:rPr>
        <w:t xml:space="preserve">BCRP (2025). Informe económico y social: Región Piura 2025. Banco Central de Reserva del Perú.</w:t>
      </w:r>
    </w:p>
    <w:p>
      <w:pPr>
        <w:spacing w:after="100" w:before="0" w:line="276"/>
        <w:ind w:left="720" w:hanging="720"/>
        <w:jc w:val="both"/>
      </w:pPr>
      <w:r>
        <w:rPr>
          <w:rFonts w:ascii="Times New Roman" w:cs="Times New Roman" w:eastAsia="Times New Roman" w:hAnsi="Times New Roman"/>
          <w:sz w:val="22"/>
          <w:szCs w:val="22"/>
        </w:rPr>
        <w:t xml:space="preserve">CEPAL (2023). Perspectivas económicas de América Latina 2023. Comisión Económica para América Latina y el Caribe.</w:t>
      </w:r>
    </w:p>
    <w:p>
      <w:pPr>
        <w:spacing w:after="100" w:before="0" w:line="276"/>
        <w:ind w:left="720" w:hanging="720"/>
        <w:jc w:val="both"/>
      </w:pPr>
      <w:r>
        <w:rPr>
          <w:rFonts w:ascii="Times New Roman" w:cs="Times New Roman" w:eastAsia="Times New Roman" w:hAnsi="Times New Roman"/>
          <w:sz w:val="22"/>
          <w:szCs w:val="22"/>
        </w:rPr>
        <w:t xml:space="preserve">CEPLAN (2024). Guía para la elaboración de indicadores de políticas nacionales y planes estratégicos. Centro Nacional de Planeamiento Estratégico.</w:t>
      </w:r>
    </w:p>
    <w:p>
      <w:pPr>
        <w:spacing w:after="100" w:before="0" w:line="276"/>
        <w:ind w:left="720" w:hanging="720"/>
        <w:jc w:val="both"/>
      </w:pPr>
      <w:r>
        <w:rPr>
          <w:rFonts w:ascii="Times New Roman" w:cs="Times New Roman" w:eastAsia="Times New Roman" w:hAnsi="Times New Roman"/>
          <w:sz w:val="22"/>
          <w:szCs w:val="22"/>
        </w:rPr>
        <w:t xml:space="preserve">ComexPerú (2026). Conectividad y brecha digital en regiones del Perú: Informe 2025-2026. Sociedad de Comercio Exterior del Perú.</w:t>
      </w:r>
    </w:p>
    <w:p>
      <w:pPr>
        <w:spacing w:after="100" w:before="0" w:line="276"/>
        <w:ind w:left="720" w:hanging="720"/>
        <w:jc w:val="both"/>
      </w:pPr>
      <w:r>
        <w:rPr>
          <w:rFonts w:ascii="Times New Roman" w:cs="Times New Roman" w:eastAsia="Times New Roman" w:hAnsi="Times New Roman"/>
          <w:sz w:val="22"/>
          <w:szCs w:val="22"/>
        </w:rPr>
        <w:t xml:space="preserve">Contreras, C. y Cueto, M. (2013). Historia del Perú contemporáneo (5a ed.). IEP.</w:t>
      </w:r>
    </w:p>
    <w:p>
      <w:pPr>
        <w:spacing w:after="100" w:before="0" w:line="276"/>
        <w:ind w:left="720" w:hanging="720"/>
        <w:jc w:val="both"/>
      </w:pPr>
      <w:r>
        <w:rPr>
          <w:rFonts w:ascii="Times New Roman" w:cs="Times New Roman" w:eastAsia="Times New Roman" w:hAnsi="Times New Roman"/>
          <w:sz w:val="22"/>
          <w:szCs w:val="22"/>
        </w:rPr>
        <w:t xml:space="preserve">Cotler, J. (1978). Clases, Estado y nación en el Perú. IEP.</w:t>
      </w:r>
    </w:p>
    <w:p>
      <w:pPr>
        <w:spacing w:after="100" w:before="0" w:line="276"/>
        <w:ind w:left="720" w:hanging="720"/>
        <w:jc w:val="both"/>
      </w:pPr>
      <w:r>
        <w:rPr>
          <w:rFonts w:ascii="Times New Roman" w:cs="Times New Roman" w:eastAsia="Times New Roman" w:hAnsi="Times New Roman"/>
          <w:sz w:val="22"/>
          <w:szCs w:val="22"/>
        </w:rPr>
        <w:t xml:space="preserve">Dargent, E. (2012). El Estado en el Perú: Una agenda de investigación. Debates en Sociología, 37, 181-198.</w:t>
      </w:r>
    </w:p>
    <w:p>
      <w:pPr>
        <w:spacing w:after="100" w:before="0" w:line="276"/>
        <w:ind w:left="720" w:hanging="720"/>
        <w:jc w:val="both"/>
      </w:pPr>
      <w:r>
        <w:rPr>
          <w:rFonts w:ascii="Times New Roman" w:cs="Times New Roman" w:eastAsia="Times New Roman" w:hAnsi="Times New Roman"/>
          <w:sz w:val="22"/>
          <w:szCs w:val="22"/>
        </w:rPr>
        <w:t xml:space="preserve">Delgado, M. y Solano, A. (2009). Estrategias didácticas creativas en entornos virtuales para el aprendizaje. Revista Actualidades Investigativas en Educación, 9(2), 1-21.</w:t>
      </w:r>
    </w:p>
    <w:p>
      <w:pPr>
        <w:spacing w:after="100" w:before="0" w:line="276"/>
        <w:ind w:left="720" w:hanging="720"/>
        <w:jc w:val="both"/>
      </w:pPr>
      <w:r>
        <w:rPr>
          <w:rFonts w:ascii="Times New Roman" w:cs="Times New Roman" w:eastAsia="Times New Roman" w:hAnsi="Times New Roman"/>
          <w:sz w:val="22"/>
          <w:szCs w:val="22"/>
        </w:rPr>
        <w:t xml:space="preserve">Díaz, F. y Hernández, G. (1999). Estrategias docentes para un aprendizaje significativo. McGraw-Hill.</w:t>
      </w:r>
    </w:p>
    <w:p>
      <w:pPr>
        <w:spacing w:after="100" w:before="0" w:line="276"/>
        <w:ind w:left="720" w:hanging="720"/>
        <w:jc w:val="both"/>
      </w:pPr>
      <w:r>
        <w:rPr>
          <w:rFonts w:ascii="Times New Roman" w:cs="Times New Roman" w:eastAsia="Times New Roman" w:hAnsi="Times New Roman"/>
          <w:sz w:val="22"/>
          <w:szCs w:val="22"/>
        </w:rPr>
        <w:t xml:space="preserve">Ellis, C., Adams, T. E. y Bochner, A. P. (2011). Autoethnography: An overview. Forum Qualitative Sozialforschung, 12(1), Art. 10. https://doi.org/10.17169/fqs-12.1.1589</w:t>
      </w:r>
    </w:p>
    <w:p>
      <w:pPr>
        <w:spacing w:after="100" w:before="0" w:line="276"/>
        <w:ind w:left="720" w:hanging="720"/>
        <w:jc w:val="both"/>
      </w:pPr>
      <w:r>
        <w:rPr>
          <w:rFonts w:ascii="Times New Roman" w:cs="Times New Roman" w:eastAsia="Times New Roman" w:hAnsi="Times New Roman"/>
          <w:sz w:val="22"/>
          <w:szCs w:val="22"/>
        </w:rPr>
        <w:t xml:space="preserve">Evans, P. (1995). Embedded autonomy: States and industrial transformation. Princeton University Press.</w:t>
      </w:r>
    </w:p>
    <w:p>
      <w:pPr>
        <w:spacing w:after="100" w:before="0" w:line="276"/>
        <w:ind w:left="720" w:hanging="720"/>
        <w:jc w:val="both"/>
      </w:pPr>
      <w:r>
        <w:rPr>
          <w:rFonts w:ascii="Times New Roman" w:cs="Times New Roman" w:eastAsia="Times New Roman" w:hAnsi="Times New Roman"/>
          <w:sz w:val="22"/>
          <w:szCs w:val="22"/>
        </w:rPr>
        <w:t xml:space="preserve">Flores Galindo, A. (1988). Buscando un Inca: Identidad y utopía en los Andes (3a ed.). Editorial Horizonte.</w:t>
      </w:r>
    </w:p>
    <w:p>
      <w:pPr>
        <w:spacing w:after="100" w:before="0" w:line="276"/>
        <w:ind w:left="720" w:hanging="720"/>
        <w:jc w:val="both"/>
      </w:pPr>
      <w:r>
        <w:rPr>
          <w:rFonts w:ascii="Times New Roman" w:cs="Times New Roman" w:eastAsia="Times New Roman" w:hAnsi="Times New Roman"/>
          <w:sz w:val="22"/>
          <w:szCs w:val="22"/>
        </w:rPr>
        <w:t xml:space="preserve">INEI (2025). Informe técnico: Estadísticas de las tecnologías de información y comunicación en los hogares, I Trimestre 2025. Instituto Nacional de Estadística e Informática.</w:t>
      </w:r>
    </w:p>
    <w:p>
      <w:pPr>
        <w:spacing w:after="100" w:before="0" w:line="276"/>
        <w:ind w:left="720" w:hanging="720"/>
        <w:jc w:val="both"/>
      </w:pPr>
      <w:r>
        <w:rPr>
          <w:rFonts w:ascii="Times New Roman" w:cs="Times New Roman" w:eastAsia="Times New Roman" w:hAnsi="Times New Roman"/>
          <w:sz w:val="22"/>
          <w:szCs w:val="22"/>
        </w:rPr>
        <w:t xml:space="preserve">Kanobel, M., Galli, M. y Chan, M. (2023). Competencias digitales docentes en la educación superior argentina. Revista Iberoamericana de Educación, 91(1), 115-134.</w:t>
      </w:r>
    </w:p>
    <w:p>
      <w:pPr>
        <w:spacing w:after="100" w:before="0" w:line="276"/>
        <w:ind w:left="720" w:hanging="720"/>
        <w:jc w:val="both"/>
      </w:pPr>
      <w:r>
        <w:rPr>
          <w:rFonts w:ascii="Times New Roman" w:cs="Times New Roman" w:eastAsia="Times New Roman" w:hAnsi="Times New Roman"/>
          <w:sz w:val="22"/>
          <w:szCs w:val="22"/>
        </w:rPr>
        <w:t xml:space="preserve">Lave, J. y Wenger, E. (1991). Situated learning: Legitimate peripheral participation. Cambridge University Press.</w:t>
      </w:r>
    </w:p>
    <w:p>
      <w:pPr>
        <w:spacing w:after="100" w:before="0" w:line="276"/>
        <w:ind w:left="720" w:hanging="720"/>
        <w:jc w:val="both"/>
      </w:pPr>
      <w:r>
        <w:rPr>
          <w:rFonts w:ascii="Times New Roman" w:cs="Times New Roman" w:eastAsia="Times New Roman" w:hAnsi="Times New Roman"/>
          <w:sz w:val="22"/>
          <w:szCs w:val="22"/>
        </w:rPr>
        <w:t xml:space="preserve">Levitsky, S. y Zavaleta, M. (2019). Por qué no hay partidos políticos en el Perú? Planeta.</w:t>
      </w:r>
    </w:p>
    <w:p>
      <w:pPr>
        <w:spacing w:after="100" w:before="0" w:line="276"/>
        <w:ind w:left="720" w:hanging="720"/>
        <w:jc w:val="both"/>
      </w:pPr>
      <w:r>
        <w:rPr>
          <w:rFonts w:ascii="Times New Roman" w:cs="Times New Roman" w:eastAsia="Times New Roman" w:hAnsi="Times New Roman"/>
          <w:sz w:val="22"/>
          <w:szCs w:val="22"/>
        </w:rPr>
        <w:t xml:space="preserve">Luckin, R. (2018). Machine learning and human intelligence: The future of education for the 21st century. UCL Institute of Education Press.</w:t>
      </w:r>
    </w:p>
    <w:p>
      <w:pPr>
        <w:spacing w:after="100" w:before="0" w:line="276"/>
        <w:ind w:left="720" w:hanging="720"/>
        <w:jc w:val="both"/>
      </w:pPr>
      <w:r>
        <w:rPr>
          <w:rFonts w:ascii="Times New Roman" w:cs="Times New Roman" w:eastAsia="Times New Roman" w:hAnsi="Times New Roman"/>
          <w:sz w:val="22"/>
          <w:szCs w:val="22"/>
        </w:rPr>
        <w:t xml:space="preserve">Lynch, J. (1992). Caudillos en Hispanoamérica 1800-1850. MAPFRE.</w:t>
      </w:r>
    </w:p>
    <w:p>
      <w:pPr>
        <w:spacing w:after="100" w:before="0" w:line="276"/>
        <w:ind w:left="720" w:hanging="720"/>
        <w:jc w:val="both"/>
      </w:pPr>
      <w:r>
        <w:rPr>
          <w:rFonts w:ascii="Times New Roman" w:cs="Times New Roman" w:eastAsia="Times New Roman" w:hAnsi="Times New Roman"/>
          <w:sz w:val="22"/>
          <w:szCs w:val="22"/>
        </w:rPr>
        <w:t xml:space="preserve">Manrique, N. (1999). La piel y la pluma: Escritos sobre literatura, etnicidad y racismo. Sur.</w:t>
      </w:r>
    </w:p>
    <w:p>
      <w:pPr>
        <w:spacing w:after="100" w:before="0" w:line="276"/>
        <w:ind w:left="720" w:hanging="720"/>
        <w:jc w:val="both"/>
      </w:pPr>
      <w:r>
        <w:rPr>
          <w:rFonts w:ascii="Times New Roman" w:cs="Times New Roman" w:eastAsia="Times New Roman" w:hAnsi="Times New Roman"/>
          <w:sz w:val="22"/>
          <w:szCs w:val="22"/>
        </w:rPr>
        <w:t xml:space="preserve">Mayer, E. (2009). Cuentos feos de la reforma agraria peruana. IEP.</w:t>
      </w:r>
    </w:p>
    <w:p>
      <w:pPr>
        <w:spacing w:after="100" w:before="0" w:line="276"/>
        <w:ind w:left="720" w:hanging="720"/>
        <w:jc w:val="both"/>
      </w:pPr>
      <w:r>
        <w:rPr>
          <w:rFonts w:ascii="Times New Roman" w:cs="Times New Roman" w:eastAsia="Times New Roman" w:hAnsi="Times New Roman"/>
          <w:sz w:val="22"/>
          <w:szCs w:val="22"/>
        </w:rPr>
        <w:t xml:space="preserve">MEF (2025). Consulta Amigable -- Ejecución del Gasto, Región Piura 2022-2025. Ministerio de Economía y Finanzas.</w:t>
      </w:r>
    </w:p>
    <w:p>
      <w:pPr>
        <w:spacing w:after="100" w:before="0" w:line="276"/>
        <w:ind w:left="720" w:hanging="720"/>
        <w:jc w:val="both"/>
      </w:pPr>
      <w:r>
        <w:rPr>
          <w:rFonts w:ascii="Times New Roman" w:cs="Times New Roman" w:eastAsia="Times New Roman" w:hAnsi="Times New Roman"/>
          <w:sz w:val="22"/>
          <w:szCs w:val="22"/>
        </w:rPr>
        <w:t xml:space="preserve">Mora Vicarioli, F. (2010). Papel del tutor virtual en la educación a distancia (UNED). Revista Calidad en la Educación Superior, 1(2), 104-119.</w:t>
      </w:r>
    </w:p>
    <w:p>
      <w:pPr>
        <w:spacing w:after="100" w:before="0" w:line="276"/>
        <w:ind w:left="720" w:hanging="720"/>
        <w:jc w:val="both"/>
      </w:pPr>
      <w:r>
        <w:rPr>
          <w:rFonts w:ascii="Times New Roman" w:cs="Times New Roman" w:eastAsia="Times New Roman" w:hAnsi="Times New Roman"/>
          <w:sz w:val="22"/>
          <w:szCs w:val="22"/>
        </w:rPr>
        <w:t xml:space="preserve">Murakami, Y. (2012). Perú en la era del chino (2a ed.). IEP.</w:t>
      </w:r>
    </w:p>
    <w:p>
      <w:pPr>
        <w:spacing w:after="100" w:before="0" w:line="276"/>
        <w:ind w:left="720" w:hanging="720"/>
        <w:jc w:val="both"/>
      </w:pPr>
      <w:r>
        <w:rPr>
          <w:rFonts w:ascii="Times New Roman" w:cs="Times New Roman" w:eastAsia="Times New Roman" w:hAnsi="Times New Roman"/>
          <w:sz w:val="22"/>
          <w:szCs w:val="22"/>
        </w:rPr>
        <w:t xml:space="preserve">O'Donnell, G. (1993). On the state, democratization and some conceptual problems. World Development, 21(8), 1355-1369. https://doi.org/10.1016/0305-750X(93)90048-E</w:t>
      </w:r>
    </w:p>
    <w:p>
      <w:pPr>
        <w:spacing w:after="100" w:before="0" w:line="276"/>
        <w:ind w:left="720" w:hanging="720"/>
        <w:jc w:val="both"/>
      </w:pPr>
      <w:r>
        <w:rPr>
          <w:rFonts w:ascii="Times New Roman" w:cs="Times New Roman" w:eastAsia="Times New Roman" w:hAnsi="Times New Roman"/>
          <w:sz w:val="22"/>
          <w:szCs w:val="22"/>
        </w:rPr>
        <w:t xml:space="preserve">O'Phelan Godoy, S. (2012). La independencia del Perú: De los Borbones a Bolívar. IEP.</w:t>
      </w:r>
    </w:p>
    <w:p>
      <w:pPr>
        <w:spacing w:after="100" w:before="0" w:line="276"/>
        <w:ind w:left="720" w:hanging="720"/>
        <w:jc w:val="both"/>
      </w:pPr>
      <w:r>
        <w:rPr>
          <w:rFonts w:ascii="Times New Roman" w:cs="Times New Roman" w:eastAsia="Times New Roman" w:hAnsi="Times New Roman"/>
          <w:sz w:val="22"/>
          <w:szCs w:val="22"/>
        </w:rPr>
        <w:t xml:space="preserve">Quijano, A. (2000). Colonialidad del poder, eurocentrismo y América Latina. En E. Lander (Ed.), La colonialidad del saber (pp. 201-246). CLACSO.</w:t>
      </w:r>
    </w:p>
    <w:p>
      <w:pPr>
        <w:spacing w:after="100" w:before="0" w:line="276"/>
        <w:ind w:left="720" w:hanging="720"/>
        <w:jc w:val="both"/>
      </w:pPr>
      <w:r>
        <w:rPr>
          <w:rFonts w:ascii="Times New Roman" w:cs="Times New Roman" w:eastAsia="Times New Roman" w:hAnsi="Times New Roman"/>
          <w:sz w:val="22"/>
          <w:szCs w:val="22"/>
        </w:rPr>
        <w:t xml:space="preserve">Raissi, M., Perdikaris, P. y Karniadakis, G. E. (2019). Physics-informed neural networks. Journal of Computational Physics, 378, 686-707. https://doi.org/10.1016/j.jcp.2018.10.045</w:t>
      </w:r>
    </w:p>
    <w:p>
      <w:pPr>
        <w:spacing w:after="100" w:before="0" w:line="276"/>
        <w:ind w:left="720" w:hanging="720"/>
        <w:jc w:val="both"/>
      </w:pPr>
      <w:r>
        <w:rPr>
          <w:rFonts w:ascii="Times New Roman" w:cs="Times New Roman" w:eastAsia="Times New Roman" w:hAnsi="Times New Roman"/>
          <w:sz w:val="22"/>
          <w:szCs w:val="22"/>
        </w:rPr>
        <w:t xml:space="preserve">Rojas, C. y Chiappe, A. (2024). Ecosistemas digitales e inteligencia artificial en la educación superior latinoamericana. Edutec, 87, 1-19.</w:t>
      </w:r>
    </w:p>
    <w:p>
      <w:pPr>
        <w:spacing w:after="100" w:before="0" w:line="276"/>
        <w:ind w:left="720" w:hanging="720"/>
        <w:jc w:val="both"/>
      </w:pPr>
      <w:r>
        <w:rPr>
          <w:rFonts w:ascii="Times New Roman" w:cs="Times New Roman" w:eastAsia="Times New Roman" w:hAnsi="Times New Roman"/>
          <w:sz w:val="22"/>
          <w:szCs w:val="22"/>
        </w:rPr>
        <w:t xml:space="preserve">Salinas, J. (2011). Entornos virtuales de aprendizaje en la escuela: tipos, modelo didáctico y rol docente. Universidad de las Islas Baleares.</w:t>
      </w:r>
    </w:p>
    <w:p>
      <w:pPr>
        <w:spacing w:after="100" w:before="0" w:line="276"/>
        <w:ind w:left="720" w:hanging="720"/>
        <w:jc w:val="both"/>
      </w:pPr>
      <w:r>
        <w:rPr>
          <w:rFonts w:ascii="Times New Roman" w:cs="Times New Roman" w:eastAsia="Times New Roman" w:hAnsi="Times New Roman"/>
          <w:sz w:val="22"/>
          <w:szCs w:val="22"/>
        </w:rPr>
        <w:t xml:space="preserve">Selwyn, N. (2019). Should robots replace teachers? AI and the future of education. Polity Press.</w:t>
      </w:r>
    </w:p>
    <w:p>
      <w:pPr>
        <w:spacing w:after="100" w:before="0" w:line="276"/>
        <w:ind w:left="720" w:hanging="720"/>
        <w:jc w:val="both"/>
      </w:pPr>
      <w:r>
        <w:rPr>
          <w:rFonts w:ascii="Times New Roman" w:cs="Times New Roman" w:eastAsia="Times New Roman" w:hAnsi="Times New Roman"/>
          <w:sz w:val="22"/>
          <w:szCs w:val="22"/>
        </w:rPr>
        <w:t xml:space="preserve">Siemens, G. (2004). Connectivism: A learning theory for the digital age. International Journal of Instructional Technology and Distance Learning, 2(1), 3-10.</w:t>
      </w:r>
    </w:p>
    <w:p>
      <w:pPr>
        <w:spacing w:after="100" w:before="0" w:line="276"/>
        <w:ind w:left="720" w:hanging="720"/>
        <w:jc w:val="both"/>
      </w:pPr>
      <w:r>
        <w:rPr>
          <w:rFonts w:ascii="Times New Roman" w:cs="Times New Roman" w:eastAsia="Times New Roman" w:hAnsi="Times New Roman"/>
          <w:sz w:val="22"/>
          <w:szCs w:val="22"/>
        </w:rPr>
        <w:t xml:space="preserve">Sotomayor-Fernández, M. J. (2026). Modelado de la Exclusión Territorial mediante Sociología Algorítmica: El Índice de Curvatura Social (ICS) en el marco del Sinaplan. Manuscrito enviado a Formación Universitaria.</w:t>
      </w:r>
    </w:p>
    <w:p>
      <w:pPr>
        <w:spacing w:after="100" w:before="0" w:line="276"/>
        <w:ind w:left="720" w:hanging="720"/>
        <w:jc w:val="both"/>
      </w:pPr>
      <w:r>
        <w:rPr>
          <w:rFonts w:ascii="Times New Roman" w:cs="Times New Roman" w:eastAsia="Times New Roman" w:hAnsi="Times New Roman"/>
          <w:sz w:val="22"/>
          <w:szCs w:val="22"/>
        </w:rPr>
        <w:t xml:space="preserve">UNESCO-IESALC e UNESCO-ICHEI (2024). Educación superior digital: Perspectivas y desafíos en América Latina y el Caribe. UNESCO.</w:t>
      </w:r>
    </w:p>
    <w:p>
      <w:pPr>
        <w:spacing w:after="100" w:before="0" w:line="276"/>
        <w:ind w:left="720" w:hanging="720"/>
        <w:jc w:val="both"/>
      </w:pPr>
      <w:r>
        <w:rPr>
          <w:rFonts w:ascii="Times New Roman" w:cs="Times New Roman" w:eastAsia="Times New Roman" w:hAnsi="Times New Roman"/>
          <w:sz w:val="22"/>
          <w:szCs w:val="22"/>
        </w:rPr>
        <w:t xml:space="preserve">Vygotsky, L. (1979). El desarrollo de los procesos psicológicos superiores. Gríjalbo.</w:t>
      </w:r>
    </w:p>
    <w:p>
      <w:pPr>
        <w:spacing w:after="100" w:before="0" w:line="276"/>
        <w:ind w:left="720" w:hanging="720"/>
        <w:jc w:val="both"/>
      </w:pPr>
      <w:r>
        <w:rPr>
          <w:rFonts w:ascii="Times New Roman" w:cs="Times New Roman" w:eastAsia="Times New Roman" w:hAnsi="Times New Roman"/>
          <w:sz w:val="22"/>
          <w:szCs w:val="22"/>
        </w:rPr>
        <w:t xml:space="preserve">Zawacki-Richter, O., Marín, V. I., Bond, M. y Gouverneur, F. (2019). Systematic review of research on artificial intelligence applications in higher education. International Journal of Educational Technology in Higher Education, 16, 39. https://doi.org/10.1186/s41239-019-0171-0</w:t>
      </w:r>
    </w:p>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2026-10-03T17:31:06.607Z</dcterms:created>
  <dcterms:modified xsi:type="dcterms:W3CDTF">2026-10-03T17:31:06.613Z</dcterms:modified>
</cp:coreProperties>
</file>

<file path=docProps/custom.xml><?xml version="1.0" encoding="utf-8"?>
<Properties xmlns="http://schemas.openxmlformats.org/officeDocument/2006/custom-properties" xmlns:vt="http://schemas.openxmlformats.org/officeDocument/2006/docPropsVTypes"/>
</file>