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40"/>
        <w:jc w:val="center"/>
      </w:pPr>
      <w:r>
        <w:rPr>
          <w:rFonts w:ascii="Times New Roman" w:cs="Times New Roman" w:eastAsia="Times New Roman" w:hAnsi="Times New Roman"/>
          <w:i/>
          <w:iCs/>
          <w:color w:val="666666"/>
          <w:sz w:val="20"/>
          <w:szCs w:val="20"/>
        </w:rPr>
        <w:t xml:space="preserve">Preprint — Zenodo. DOI pendiente de asignación.</w:t>
      </w:r>
    </w:p>
    <w:p>
      <w:pPr>
        <w:spacing w:after="80" w:before="0" w:line="240"/>
        <w:jc w:val="center"/>
      </w:pPr>
      <w:r>
        <w:rPr>
          <w:rFonts w:ascii="Times New Roman" w:cs="Times New Roman" w:eastAsia="Times New Roman" w:hAnsi="Times New Roman"/>
          <w:i/>
          <w:iCs/>
          <w:color w:val="666666"/>
          <w:sz w:val="20"/>
          <w:szCs w:val="20"/>
        </w:rPr>
        <w:t xml:space="preserve">Licencia: Creative Commons Attribution 4.0 International (CC BY 4.0)</w:t>
      </w:r>
    </w:p>
    <w:p>
      <w:pPr>
        <w:spacing w:after="120" w:before="0"/>
      </w:pPr>
      <w:r>
        <w:rPr>
          <w:rFonts w:ascii="Times New Roman" w:cs="Times New Roman" w:eastAsia="Times New Roman" w:hAnsi="Times New Roman"/>
          <w:sz w:val="24"/>
          <w:szCs w:val="24"/>
        </w:rPr>
        <w:t xml:space="preserve"/>
      </w:r>
    </w:p>
    <w:p>
      <w:pPr>
        <w:spacing w:after="200" w:before="0" w:line="300"/>
        <w:jc w:val="center"/>
      </w:pPr>
      <w:r>
        <w:rPr>
          <w:rFonts w:ascii="Times New Roman" w:cs="Times New Roman" w:eastAsia="Times New Roman" w:hAnsi="Times New Roman"/>
          <w:b/>
          <w:bCs/>
          <w:color w:val="1A2F4A"/>
          <w:sz w:val="32"/>
          <w:szCs w:val="32"/>
        </w:rPr>
        <w:t xml:space="preserve">SciAgent v3: arquitectura multiagente para la producción, revisión y validación de artículos científicos asistida por inteligencia artificial</w:t>
      </w:r>
    </w:p>
    <w:p>
      <w:pPr>
        <w:spacing w:after="240" w:before="0" w:line="276"/>
        <w:jc w:val="center"/>
      </w:pPr>
      <w:r>
        <w:rPr>
          <w:rFonts w:ascii="Times New Roman" w:cs="Times New Roman" w:eastAsia="Times New Roman" w:hAnsi="Times New Roman"/>
          <w:i/>
          <w:iCs/>
          <w:color w:val="444444"/>
          <w:sz w:val="26"/>
          <w:szCs w:val="26"/>
        </w:rPr>
        <w:t xml:space="preserve">Diseño, implementación y evaluación desde la práctica investigadora en la región Piura, Perú</w:t>
      </w:r>
    </w:p>
    <w:p>
      <w:pPr>
        <w:spacing w:after="80" w:before="0" w:line="276"/>
        <w:jc w:val="center"/>
      </w:pPr>
      <w:r>
        <w:rPr>
          <w:rFonts w:ascii="Times New Roman" w:cs="Times New Roman" w:eastAsia="Times New Roman" w:hAnsi="Times New Roman"/>
          <w:b/>
          <w:bCs/>
          <w:color w:val="000000"/>
          <w:sz w:val="24"/>
          <w:szCs w:val="24"/>
        </w:rPr>
        <w:t xml:space="preserve">Manuel J. Sotomayor-Fernández</w:t>
      </w:r>
    </w:p>
    <w:p>
      <w:pPr>
        <w:spacing w:after="80" w:before="0" w:line="276"/>
        <w:jc w:val="center"/>
      </w:pPr>
      <w:r>
        <w:rPr>
          <w:rFonts w:ascii="Times New Roman" w:cs="Times New Roman" w:eastAsia="Times New Roman" w:hAnsi="Times New Roman"/>
          <w:i/>
          <w:iCs/>
          <w:color w:val="000000"/>
          <w:sz w:val="22"/>
          <w:szCs w:val="22"/>
        </w:rPr>
        <w:t xml:space="preserve">Universidad Tecnológica del Perú, Sede Piura</w:t>
      </w:r>
    </w:p>
    <w:p>
      <w:pPr>
        <w:spacing w:after="80" w:before="0" w:line="276"/>
        <w:jc w:val="center"/>
      </w:pPr>
      <w:r>
        <w:rPr>
          <w:rFonts w:ascii="Times New Roman" w:cs="Times New Roman" w:eastAsia="Times New Roman" w:hAnsi="Times New Roman"/>
          <w:color w:val="000000"/>
          <w:sz w:val="22"/>
          <w:szCs w:val="22"/>
        </w:rPr>
        <w:t xml:space="preserve">ORCID: 0000-0002-7105-620X</w:t>
      </w:r>
    </w:p>
    <w:p>
      <w:pPr>
        <w:spacing w:after="80" w:before="0" w:line="276"/>
        <w:jc w:val="center"/>
      </w:pPr>
      <w:r>
        <w:rPr>
          <w:rFonts w:ascii="Times New Roman" w:cs="Times New Roman" w:eastAsia="Times New Roman" w:hAnsi="Times New Roman"/>
          <w:color w:val="000000"/>
          <w:sz w:val="22"/>
          <w:szCs w:val="22"/>
        </w:rPr>
        <w:t xml:space="preserve">msotomayorf@gmail.com</w:t>
      </w:r>
    </w:p>
    <w:p>
      <w:pPr>
        <w:spacing w:after="280" w:before="0" w:line="276"/>
        <w:jc w:val="center"/>
      </w:pPr>
      <w:r>
        <w:rPr>
          <w:rFonts w:ascii="Times New Roman" w:cs="Times New Roman" w:eastAsia="Times New Roman" w:hAnsi="Times New Roman"/>
          <w:color w:val="1A2F4A"/>
          <w:sz w:val="22"/>
          <w:szCs w:val="22"/>
        </w:rPr>
        <w:t xml:space="preserve">GitHub: https://github.com/msotomayorf-code/sciagent</w:t>
      </w:r>
    </w:p>
    <w:p>
      <w:pPr>
        <w:spacing w:after="80" w:before="0"/>
      </w:pPr>
      <w:r>
        <w:rPr>
          <w:rFonts w:ascii="Times New Roman" w:cs="Times New Roman" w:eastAsia="Times New Roman" w:hAnsi="Times New Roman"/>
          <w:sz w:val="24"/>
          <w:szCs w:val="24"/>
        </w:rPr>
        <w:t xml:space="preserve"/>
      </w:r>
    </w:p>
    <w:p>
      <w:pPr>
        <w:pBdr>
          <w:top w:val="single" w:color="1A2F4A" w:sz="4"/>
          <w:left w:val="single" w:color="1A2F4A" w:sz="6"/>
          <w:right w:val="single" w:color="1A2F4A" w:sz="6"/>
        </w:pBdr>
        <w:spacing w:after="60" w:before="160" w:line="276"/>
        <w:ind w:left="360" w:right="360"/>
        <w:jc w:val="left"/>
      </w:pPr>
      <w:r>
        <w:rPr>
          <w:rFonts w:ascii="Times New Roman" w:cs="Times New Roman" w:eastAsia="Times New Roman" w:hAnsi="Times New Roman"/>
          <w:b/>
          <w:bCs/>
          <w:color w:val="1A2F4A"/>
          <w:sz w:val="22"/>
          <w:szCs w:val="22"/>
        </w:rPr>
        <w:t xml:space="preserve">Resumen</w:t>
      </w:r>
    </w:p>
    <w:p>
      <w:pPr>
        <w:pBdr>
          <w:bottom w:val="single" w:color="1A2F4A" w:sz="4"/>
          <w:left w:val="single" w:color="1A2F4A" w:sz="6"/>
          <w:right w:val="single" w:color="1A2F4A" w:sz="6"/>
        </w:pBdr>
        <w:spacing w:after="160" w:before="0" w:line="276"/>
        <w:ind w:left="360" w:right="360"/>
        <w:jc w:val="both"/>
      </w:pPr>
      <w:r>
        <w:rPr>
          <w:rFonts w:ascii="Times New Roman" w:cs="Times New Roman" w:eastAsia="Times New Roman" w:hAnsi="Times New Roman"/>
          <w:color w:val="000000"/>
          <w:sz w:val="22"/>
          <w:szCs w:val="22"/>
        </w:rPr>
        <w:t xml:space="preserve">SciAgent v3 es un sistema de agentes de inteligencia artificial diseñado para asistir al investigador académico en la producción, revisión y validación de artículos científicos. La arquitectura integra doce agentes especializados: un verificador previo (Agente 0), ocho agentes de producción (Investigador, Metódólogo, Analista, Redactor, Revisor, Editor, Humanizador y Director Visual) y tres agentes de evaluación académica (SMID-MA 3.0: Evaluador de Calidad, Detector de Vacíos y Evaluador Scopus/WoS). El sistema fue diseñado e implementado por un investigador social sin formación en programación, usando el principio de aprendizaje situado. Los resultados incluyen cinco trabajos académicos en distintas etapas de validación: un artículo de sociología algorítmica (en revisión), un artículo de planeamiento estratégico regional (en revisión), un artículo de historia política peruana (validado y listo para publicación), una tesis de maestía revisada y una propuesta institucional de prospectiva regional. El denominador común de todos los casos es la fusión entre el conocimiento disciplinario del investigador y la capacidad de procesamiento del sistema. El código está disponible en GitHub bajo licencia MIT.</w:t>
      </w:r>
    </w:p>
    <w:p>
      <w:pPr>
        <w:spacing w:after="80" w:before="0"/>
      </w:pPr>
      <w:r>
        <w:rPr>
          <w:rFonts w:ascii="Times New Roman" w:cs="Times New Roman" w:eastAsia="Times New Roman" w:hAnsi="Times New Roman"/>
          <w:sz w:val="24"/>
          <w:szCs w:val="24"/>
        </w:rPr>
        <w:t xml:space="preserve"/>
      </w:r>
    </w:p>
    <w:p>
      <w:pPr>
        <w:spacing w:after="80" w:before="0" w:line="276"/>
        <w:ind/>
        <w:jc w:val="both"/>
      </w:pPr>
      <w:r>
        <w:rPr>
          <w:rFonts w:ascii="Times New Roman" w:cs="Times New Roman" w:eastAsia="Times New Roman" w:hAnsi="Times New Roman"/>
          <w:b w:val="false"/>
          <w:bCs w:val="false"/>
          <w:i/>
          <w:iCs/>
          <w:color w:val="000000"/>
          <w:sz w:val="24"/>
          <w:szCs w:val="24"/>
        </w:rPr>
        <w:t xml:space="preserve">Palabras clave: sistemas multiagente; inteligencia artificial; producción científica; validación académica; sociología algorítmica; América Latina; Perú.</w:t>
      </w:r>
    </w:p>
    <w:p>
      <w:pPr>
        <w:spacing w:after="80" w:before="0"/>
      </w:pPr>
      <w:r>
        <w:rPr>
          <w:rFonts w:ascii="Times New Roman" w:cs="Times New Roman" w:eastAsia="Times New Roman" w:hAnsi="Times New Roman"/>
          <w:sz w:val="24"/>
          <w:szCs w:val="24"/>
        </w:rPr>
        <w:t xml:space="preserve"/>
      </w:r>
    </w:p>
    <w:p>
      <w:pPr>
        <w:pBdr>
          <w:top w:val="single" w:color="1A2F4A" w:sz="4"/>
          <w:left w:val="single" w:color="1A2F4A" w:sz="6"/>
          <w:right w:val="single" w:color="1A2F4A" w:sz="6"/>
        </w:pBdr>
        <w:spacing w:after="60" w:before="160" w:line="276"/>
        <w:ind w:left="360" w:right="360"/>
        <w:jc w:val="left"/>
      </w:pPr>
      <w:r>
        <w:rPr>
          <w:rFonts w:ascii="Times New Roman" w:cs="Times New Roman" w:eastAsia="Times New Roman" w:hAnsi="Times New Roman"/>
          <w:b/>
          <w:bCs/>
          <w:color w:val="1A2F4A"/>
          <w:sz w:val="22"/>
          <w:szCs w:val="22"/>
        </w:rPr>
        <w:t xml:space="preserve">Abstract</w:t>
      </w:r>
    </w:p>
    <w:p>
      <w:pPr>
        <w:pBdr>
          <w:bottom w:val="single" w:color="1A2F4A" w:sz="4"/>
          <w:left w:val="single" w:color="1A2F4A" w:sz="6"/>
          <w:right w:val="single" w:color="1A2F4A" w:sz="6"/>
        </w:pBdr>
        <w:spacing w:after="160" w:before="0" w:line="276"/>
        <w:ind w:left="360" w:right="360"/>
        <w:jc w:val="both"/>
      </w:pPr>
      <w:r>
        <w:rPr>
          <w:rFonts w:ascii="Times New Roman" w:cs="Times New Roman" w:eastAsia="Times New Roman" w:hAnsi="Times New Roman"/>
          <w:color w:val="000000"/>
          <w:sz w:val="22"/>
          <w:szCs w:val="22"/>
        </w:rPr>
        <w:t xml:space="preserve">SciAgent v3 is a multi-agent artificial intelligence system designed to assist academic researchers in the production, review, and validation of scientific articles. The architecture integrates twelve specialized agents: a pre-verification agent (Agent 0), eight production agents (Researcher, Methodologist, Analyst, Writer, Reviewer, Editor, Humanizer, and Visual Director), and three academic evaluation agents (SMID-MA 3.0: Quality Evaluator, Gap Detector, and Scopus/WoS Evaluator). The system was designed and implemented by a social science researcher with no programming background, using the principle of situated learning. Results include five academic outputs at different stages of validation: an algorithmic sociology article (under review), a regional strategic planning article (under review), a Peruvian political history article (validated and ready for publication), a revised master's thesis, and an institutional prospective planning proposal. The common denominator across all cases is the fusion between the researcher's disciplinary knowledge and the system's processing capacity. Code is available on GitHub under the MIT license.</w:t>
      </w:r>
    </w:p>
    <w:p>
      <w:pPr>
        <w:spacing w:after="80" w:before="0"/>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iCs/>
          <w:color w:val="000000"/>
          <w:sz w:val="24"/>
          <w:szCs w:val="24"/>
        </w:rPr>
        <w:t xml:space="preserve">Keywords: multi-agent systems; artificial intelligence; scientific production; academic validation; algorithmic sociology; Latin America; Peru.</w:t>
      </w:r>
    </w:p>
    <w:p>
      <w:pPr>
        <w:spacing w:after="240" w:before="0"/>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1. Introducción</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inteligencia artificial generativa ha transformado las condiciones de producción del conocimiento científico. En menos de tres años, los sistemas de lenguaje de gran escala (LLM, por sus siglas en inglés) han pasado de ser herramientas de asistencia puntual a convertirse en componentes activos de los flujos de trabajo de investigadores en todo el mundo (Zawacki-Richter et al., 2019; Luckin, 2018). Sin embargo, la mayor parte de la literatura sobre el tema describe experiencias de usuarios de los países del norte global, con acceso a infraestructura tecnológica robusta, formación técnica avanzada y contextos institucionales que facilitan la experimentación.</w:t>
      </w:r>
    </w:p>
    <w:p>
      <w:pPr>
        <w:spacing w:after="80" w:before="0"/>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Este trabajo documenta una experiencia distinta: el diseño, la implementación y la evaluación de un sistema multiagente de producción científica por parte de un investigador social de la Universidad Tecnológica del Perú, sede Piura, sin formación en programación y en un contexto de conectividad limitada. El sistema resultante, denominado SciAgent v3, integra doce agentes especializados y ha sido aplicado a la producción de cinco trabajos académicos en disciplinas que van desde la sociología algorítmica hasta la historia política peruana.</w:t>
      </w:r>
    </w:p>
    <w:p>
      <w:pPr>
        <w:spacing w:after="80" w:before="0"/>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argumento central de este artículo es que el valor del sistema no reside en su capacidad de generar texto de manera autónoma, sino en la calidad de la fusión entre el conocimiento disciplinario del investigador y la capacidad de procesamiento del sistema. La validación no es un obstáculo en el camino al éxito académico -- es parte constitutiva de él. Y el investigador no es un usuario pasivo que recibe outputs del sistema -- es el guía que conduce cada etapa del proceso y asume la responsabilidad intelectual del producto final.</w:t>
      </w:r>
    </w:p>
    <w:p>
      <w:pPr>
        <w:spacing w:after="80" w:before="0"/>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artículo se organiza así: la sección 2 describe el problema que motivó el desarrollo del sistema; la sección 3 presenta la arquitectura de SciAgent v3; la sección 4 describe el protocolo de validación; la sección 5 presenta los resultados en cinco casos; la sección 6 discute las implicaciones para la investigación académica latinoamericana; y la sección 7 concluye con una agenda de trabajo.</w:t>
      </w:r>
    </w:p>
    <w:p>
      <w:pPr>
        <w:spacing w:after="240" w:before="0"/>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2. El problema: producción científica en condiciones de restricción</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investigador universitario latinoamericano típico enfrenta tres restricciones simultáneas que condicionan su productividad científica. La primera es temporal: la carga docente en universidades privadas del interior del país puede superar las veinte horas semanales de clase, lo que deja márgenes muy estrechos para la investigación systemática. La segunda es bibliográfica: el acceso a bases de datos indexadas (Scopus, Web of Science) depende de suscripciones institucionales que no siempre se renuevan, y la literatura más reciente en las fronteras del conocimiento está predominantemente en inglés. La tercera es metodológica: el dominio de herramientas cuantitativas avanzadas -- modelos de machine learning, redes neuronales, análisis de redes sociales -- requiere una formación que los programas de ciencias sociales latinoamericanos rara vez ofrecen de manera sistemática.</w:t>
      </w:r>
    </w:p>
    <w:p>
      <w:pPr>
        <w:spacing w:after="80" w:before="0"/>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Frente a esas restricciones, la llegada de los sistemas de IA generativa abre una posibilidad que no existía hace cinco años: el investigador que tiene el conocimiento disciplinario pero carece del tiempo o las herramientas técnicas puede delegar las tareas de procesamiento al sistema, conservando el juicio y la responsabilidad intelectual sobre el proceso. SciAgent v3 es una propuesta concreta de cómo organizar esa delegación de manera sistemática, trazable y científicamente rigurosa.</w:t>
      </w:r>
    </w:p>
    <w:p>
      <w:pPr>
        <w:spacing w:after="240" w:before="0"/>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3. Arquitectura de SciAgent v3</w:t>
      </w:r>
    </w:p>
    <w:p>
      <w:pPr>
        <w:spacing w:after="100" w:before="200" w:line="276"/>
        <w:jc w:val="left"/>
      </w:pPr>
      <w:r>
        <w:rPr>
          <w:rFonts w:ascii="Times New Roman" w:cs="Times New Roman" w:eastAsia="Times New Roman" w:hAnsi="Times New Roman"/>
          <w:b/>
          <w:bCs/>
          <w:color w:val="000000"/>
          <w:sz w:val="24"/>
          <w:szCs w:val="24"/>
        </w:rPr>
        <w:t xml:space="preserve">3.1. Principios de diseño</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SciAgent v3 fue diseñado bajo tres principios. El primero es la especialización: cada agente tiene una función delimitada y no interviene en las funciones de los demás. El segundo es la trazabilidad: cada output del sistema incluye indicadores explícitos del estado de validación y de las decisiones que tomaron el investigador y el sistema a lo largo del proceso. El tercero es la soberanía del investigador: el sistema nunca toma decisiones críticas de manera autónoma -- siempre somete sus outputs al juicio del investigador antes de avanzar al siguiente paso.</w:t>
      </w:r>
    </w:p>
    <w:p>
      <w:pPr>
        <w:spacing w:after="80" w:before="0"/>
      </w:pPr>
      <w:r>
        <w:rPr>
          <w:rFonts w:ascii="Times New Roman" w:cs="Times New Roman" w:eastAsia="Times New Roman" w:hAnsi="Times New Roman"/>
          <w:sz w:val="24"/>
          <w:szCs w:val="24"/>
        </w:rPr>
        <w:t xml:space="preserve"/>
      </w:r>
    </w:p>
    <w:p>
      <w:pPr>
        <w:spacing w:after="100" w:before="200" w:line="276"/>
        <w:jc w:val="left"/>
      </w:pPr>
      <w:r>
        <w:rPr>
          <w:rFonts w:ascii="Times New Roman" w:cs="Times New Roman" w:eastAsia="Times New Roman" w:hAnsi="Times New Roman"/>
          <w:b/>
          <w:bCs/>
          <w:color w:val="000000"/>
          <w:sz w:val="24"/>
          <w:szCs w:val="24"/>
        </w:rPr>
        <w:t xml:space="preserve">3.2. Los doce agentes</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arquitectura de SciAgent v3 integra doce agentes organizados en tres capas funcionales. La primera capa es el Agente 0, el Verificador Previo, cuya función es ejecutar un checklist de preparación antes de activar el pipeline. Este agente fue el último en añadirse al sistema, después de que la experiencia práctica enseñó que los errores más costosos ocurren cuando el investigador activa el proceso sin haber verificado la disponibilidad y calidad de los insumos.</w:t>
      </w:r>
    </w:p>
    <w:p>
      <w:pPr>
        <w:spacing w:after="80" w:before="0"/>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segunda capa es el pipeline de producción, formado por ocho agentes en secuencia: el Investigador (búsqueda y síntesis de literatura), el Metódólogo (diseño del marco metodológico), el Analista (procesamiento de datos), el Redactor (escritura académica), el Revisor (control de coherencia interna), el Editor (adecuación al formato de la revista objetivo), el Humanizador (eliminación de patrones de escritura artificial) y el Director Visual (tablas, figuras y presentación).</w:t>
      </w:r>
    </w:p>
    <w:p>
      <w:pPr>
        <w:spacing w:after="80" w:before="0"/>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tercera capa es el Sistema Maestro de Investigación Doctoral Multiagente (SMID-MA 3.0), formado por tres agentes de evaluación académica: el Evaluador de Calidad (análisis de rigor metodológico según estándares Scopus/WoS), el Detector de Vacíos (identificación de ausencias teóricas, metodológicas, geográficas y poblacionales) y el Evaluador Scopus/WoS (estimación de probabilidad de aceptación en revistas indexadas).</w:t>
      </w:r>
    </w:p>
    <w:p>
      <w:pPr>
        <w:spacing w:after="80" w:before="0"/>
      </w:pPr>
      <w:r>
        <w:rPr>
          <w:rFonts w:ascii="Times New Roman" w:cs="Times New Roman" w:eastAsia="Times New Roman" w:hAnsi="Times New Roman"/>
          <w:sz w:val="24"/>
          <w:szCs w:val="24"/>
        </w:rPr>
        <w:t xml:space="preserve"/>
      </w:r>
    </w:p>
    <w:p>
      <w:pPr>
        <w:pBdr>
          <w:top w:val="single" w:color="1A2F4A" w:sz="4"/>
          <w:left w:val="single" w:color="1A2F4A" w:sz="6"/>
          <w:right w:val="single" w:color="1A2F4A" w:sz="6"/>
        </w:pBdr>
        <w:spacing w:after="60" w:before="160" w:line="276"/>
        <w:ind w:left="360" w:right="360"/>
        <w:jc w:val="left"/>
      </w:pPr>
      <w:r>
        <w:rPr>
          <w:rFonts w:ascii="Times New Roman" w:cs="Times New Roman" w:eastAsia="Times New Roman" w:hAnsi="Times New Roman"/>
          <w:b/>
          <w:bCs/>
          <w:color w:val="1A2F4A"/>
          <w:sz w:val="22"/>
          <w:szCs w:val="22"/>
        </w:rPr>
        <w:t xml:space="preserve">Tabla 1. Arquitectura de SciAgent v3 — resumen de agentes y funciones</w:t>
      </w:r>
    </w:p>
    <w:p>
      <w:pPr>
        <w:pBdr>
          <w:bottom w:val="single" w:color="1A2F4A" w:sz="4"/>
          <w:left w:val="single" w:color="1A2F4A" w:sz="6"/>
          <w:right w:val="single" w:color="1A2F4A" w:sz="6"/>
        </w:pBdr>
        <w:spacing w:after="160" w:before="0" w:line="276"/>
        <w:ind w:left="360" w:right="360"/>
        <w:jc w:val="both"/>
      </w:pPr>
      <w:r>
        <w:rPr>
          <w:rFonts w:ascii="Times New Roman" w:cs="Times New Roman" w:eastAsia="Times New Roman" w:hAnsi="Times New Roman"/>
          <w:color w:val="000000"/>
          <w:sz w:val="22"/>
          <w:szCs w:val="22"/>
        </w:rPr>
        <w:t xml:space="preserve">Capa 0 | Agente 0: Verificador Previo | Checklist de insumos antes del pipeline
Capa 1 | Agente 1: Investigador | Búsqueda y síntesis de literatura
Capa 1 | Agente 2: Metódólogo | Marco metodológico
Capa 1 | Agente 3: Analista | Procesamiento de datos
Capa 1 | Agente 4: Redactor | Escritura académica IMRAD
Capa 1 | Agente 5: Revisor | Coherencia interna
Capa 1 | Agente 6: Editor | Formato de revista objetivo
Capa 1 | Agente 7: Humanizador | Eliminación de patrones artificiales
Capa 1 | Agente 8: Director Visual | Tablas, figuras y presentación
Capa 2 | Agente 9: Evaluador de Calidad | Rigor metodológico (SMID-MA 3.0)
Capa 2 | Agente 10: Detector de Vacíos | Vacíos teóricos y geográficos
Capa 2 | Agente 11: Evaluador Scopus/WoS | Probabilidad de aceptación</w:t>
      </w:r>
    </w:p>
    <w:p>
      <w:pPr>
        <w:spacing w:after="80" w:before="0"/>
      </w:pPr>
      <w:r>
        <w:rPr>
          <w:rFonts w:ascii="Times New Roman" w:cs="Times New Roman" w:eastAsia="Times New Roman" w:hAnsi="Times New Roman"/>
          <w:sz w:val="24"/>
          <w:szCs w:val="24"/>
        </w:rPr>
        <w:t xml:space="preserve"/>
      </w:r>
    </w:p>
    <w:p>
      <w:pPr>
        <w:spacing w:after="100" w:before="200" w:line="276"/>
        <w:jc w:val="left"/>
      </w:pPr>
      <w:r>
        <w:rPr>
          <w:rFonts w:ascii="Times New Roman" w:cs="Times New Roman" w:eastAsia="Times New Roman" w:hAnsi="Times New Roman"/>
          <w:b/>
          <w:bCs/>
          <w:color w:val="000000"/>
          <w:sz w:val="24"/>
          <w:szCs w:val="24"/>
        </w:rPr>
        <w:t xml:space="preserve">3.3. Implementación técnica</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orquestador del sistema está implementado en Node.js (archivo orchestrator_v3.js) y gestiona la comunicación entre agentes mediante llamadas estructuradas a la API de Anthropic (modelo claude-sonnet-4-6). Cada agente recibe un prompt sistemático que define su función, sus insumos esperados y su formato de output. El código completo está disponible en el repositorio público https://github.com/msotomayorf-code/sciagent bajo licencia MIT.</w:t>
      </w:r>
    </w:p>
    <w:p>
      <w:pPr>
        <w:spacing w:after="240" w:before="0"/>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4. Protocolo de validación</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protocolo de validación de SciAgent v3 opera en cuatro niveles. El primero es la validación de insumos: el Agente 0 verifica que los datos, referencias y el encuadre conceptual del trabajo estén disponibles y sean de calidad suficiente antes de iniciar el pipeline. El segundo es la validación de coherencia interna: el Agente 5 (Revisor) verifica que el output de cada etapa sea consistente con el de las etapas anteriores. El tercero es la validación académica: los agentes del SMID-MA 3.0 evalúan el trabajo según los estándares de rigor metodológico, identifican vacíos y estiman la probabilidad de aceptación en revistas indexadas. El cuarto es la validación del investigador: en ningún punto del proceso el sistema avanza sin que el investigador haya revisado, aprobado o corregido el output de la etapa anterior.</w:t>
      </w:r>
    </w:p>
    <w:p>
      <w:pPr>
        <w:spacing w:after="80" w:before="0"/>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Este último nivel es el más importante y el más frecuentemente omitido en los estudios sobre IA en investigación académica. La validación del investigador no es una fórmula de cierre -- es el mecanismo que garantiza que el conocimiento disciplinario del investigador conduzca el proceso y que la responsabilidad intelectual del producto final sea claramente atribuible a un ser humano con nombre, afiliación institucional y ORCID.</w:t>
      </w:r>
    </w:p>
    <w:p>
      <w:pPr>
        <w:spacing w:after="240" w:before="0"/>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5. Resultados: cinco casos en proceso</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Los cinco trabajos que se presentan a continuación fueron producidos entre julio y octubre de 2026 usando SciAgent v3. Ninguno es un producto terminado en el sentido de haber completado el ciclo de publicación -- cuatro están en proceso de revisión y validación, y uno ha completado la validación interna y está listo para envío a revista. Ese estado es presentado con precisión y sin eufemismos porque la honestidad sobre el estado de los trabajos es parte del protocolo de transparencia del sistema.</w:t>
      </w:r>
    </w:p>
    <w:p>
      <w:pPr>
        <w:spacing w:after="80" w:before="0"/>
      </w:pPr>
      <w:r>
        <w:rPr>
          <w:rFonts w:ascii="Times New Roman" w:cs="Times New Roman" w:eastAsia="Times New Roman" w:hAnsi="Times New Roman"/>
          <w:sz w:val="24"/>
          <w:szCs w:val="24"/>
        </w:rPr>
        <w:t xml:space="preserve"/>
      </w:r>
    </w:p>
    <w:p>
      <w:pPr>
        <w:spacing w:after="100" w:before="200" w:line="276"/>
        <w:jc w:val="left"/>
      </w:pPr>
      <w:r>
        <w:rPr>
          <w:rFonts w:ascii="Times New Roman" w:cs="Times New Roman" w:eastAsia="Times New Roman" w:hAnsi="Times New Roman"/>
          <w:b/>
          <w:bCs/>
          <w:color w:val="000000"/>
          <w:sz w:val="24"/>
          <w:szCs w:val="24"/>
        </w:rPr>
        <w:t xml:space="preserve">5.1. Artículo de sociología algorítmica: el Índice de Curvatura Social (en revisión)</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primer trabajo aplica redes neuronales informadas por física (PINNs) a la construcción del Índice de Curvatura Social (ICS), una métrica original que modela la exclusión territorial en los 33 distritos rurales de la región Piura. Los datos -- ejecución presupuestal, NBI, ingreso per cápita, acceso a internet, tasas de anemia -- fueron aportados por el investigador desde archivos de campo propios y fuentes oficiales del MEF, el BCRP y el GORE Piura. El ICS promedio de la muestra es de 0.78, con validación convergente de r = -0.71 con el Índice de Desarrollo Humano y r = 0.68 con el Índice de Necesidades Básicas Insatisfechas. El trabajo está en proceso de revisión y ha sido enviado a la revista Formación Universitaria (Q2 Scopus), con una probabilidad de aceptación estimada por el Agente 11 del 78%.</w:t>
      </w:r>
    </w:p>
    <w:p>
      <w:pPr>
        <w:spacing w:after="80" w:before="0"/>
      </w:pPr>
      <w:r>
        <w:rPr>
          <w:rFonts w:ascii="Times New Roman" w:cs="Times New Roman" w:eastAsia="Times New Roman" w:hAnsi="Times New Roman"/>
          <w:sz w:val="24"/>
          <w:szCs w:val="24"/>
        </w:rPr>
        <w:t xml:space="preserve"/>
      </w:r>
    </w:p>
    <w:p>
      <w:pPr>
        <w:spacing w:after="100" w:before="200" w:line="276"/>
        <w:jc w:val="left"/>
      </w:pPr>
      <w:r>
        <w:rPr>
          <w:rFonts w:ascii="Times New Roman" w:cs="Times New Roman" w:eastAsia="Times New Roman" w:hAnsi="Times New Roman"/>
          <w:b/>
          <w:bCs/>
          <w:color w:val="000000"/>
          <w:sz w:val="24"/>
          <w:szCs w:val="24"/>
        </w:rPr>
        <w:t xml:space="preserve">5.2. Artículo de planeamiento estratégico regional (en revisión)</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segundo trabajo aplica el Índice de Brecha de Implementación (IBI) al Plan de Desarrollo Concertado de Piura 2022-2030. El hallazgo central -- una brecha media del 31%, con variaciones del 18% en infraestructura física al 52% en fortalecimiento institucional -- fue calculado por el investigador sobre datos del MEF y el Siseplan. El sistema elaboró el argumento académico que convierte ese hallazgo en una contribución teórica al campo del planeamiento estratégico territorial.</w:t>
      </w:r>
    </w:p>
    <w:p>
      <w:pPr>
        <w:spacing w:after="80" w:before="0"/>
      </w:pPr>
      <w:r>
        <w:rPr>
          <w:rFonts w:ascii="Times New Roman" w:cs="Times New Roman" w:eastAsia="Times New Roman" w:hAnsi="Times New Roman"/>
          <w:sz w:val="24"/>
          <w:szCs w:val="24"/>
        </w:rPr>
        <w:t xml:space="preserve"/>
      </w:r>
    </w:p>
    <w:p>
      <w:pPr>
        <w:spacing w:after="100" w:before="200" w:line="276"/>
        <w:jc w:val="left"/>
      </w:pPr>
      <w:r>
        <w:rPr>
          <w:rFonts w:ascii="Times New Roman" w:cs="Times New Roman" w:eastAsia="Times New Roman" w:hAnsi="Times New Roman"/>
          <w:b/>
          <w:bCs/>
          <w:color w:val="000000"/>
          <w:sz w:val="24"/>
          <w:szCs w:val="24"/>
        </w:rPr>
        <w:t xml:space="preserve">5.3. Artículo de historia política peruana: validado y listo para publicación</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tercer trabajo analiza la fractura entre Estado y nación en el Perú desde 1821 hasta 2024. El investigador aportó la distinción historiográfica crítica entre Virreinato y colonia, basada en Alvarado Dodero (2017) y O'Phelan Godoy (2012), y la crítica a Dargent (2012) sobre capacidad estatal diferenciada. El sistema integró esos marcos con fluidez académica. El artículo tiene cinco autores desde cinco disciplinas distintas y 19 referencias verificadas. Es el único de los cinco trabajos que ha completado el ciclo de validación interna y está listo para envío a revista.</w:t>
      </w:r>
    </w:p>
    <w:p>
      <w:pPr>
        <w:spacing w:after="80" w:before="0"/>
      </w:pPr>
      <w:r>
        <w:rPr>
          <w:rFonts w:ascii="Times New Roman" w:cs="Times New Roman" w:eastAsia="Times New Roman" w:hAnsi="Times New Roman"/>
          <w:sz w:val="24"/>
          <w:szCs w:val="24"/>
        </w:rPr>
        <w:t xml:space="preserve"/>
      </w:r>
    </w:p>
    <w:p>
      <w:pPr>
        <w:spacing w:after="100" w:before="200" w:line="276"/>
        <w:jc w:val="left"/>
      </w:pPr>
      <w:r>
        <w:rPr>
          <w:rFonts w:ascii="Times New Roman" w:cs="Times New Roman" w:eastAsia="Times New Roman" w:hAnsi="Times New Roman"/>
          <w:b/>
          <w:bCs/>
          <w:color w:val="000000"/>
          <w:sz w:val="24"/>
          <w:szCs w:val="24"/>
        </w:rPr>
        <w:t xml:space="preserve">5.4. Tesis de maestía revisada: proceso de revisión, validación y corrección</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cuarto trabajo es una tesis sobre estrategias didácticas y entornos virtuales de aprendizaje (EVA). El sistema identificó tres problemas estructurales: ausencia de fuentes previas a 2010 en la sección de evolución histórica, uso excesivo de una sola fuente en la definición de conceptos, y categorías de análisis subdesar-rolladas. El asesor dirigió la corrección. El resultado fue un capítulo II con 42 referencias verificadas en APA 7 y cinco categorías desarrolladas en profundidad.</w:t>
      </w:r>
    </w:p>
    <w:p>
      <w:pPr>
        <w:spacing w:after="80" w:before="0"/>
      </w:pPr>
      <w:r>
        <w:rPr>
          <w:rFonts w:ascii="Times New Roman" w:cs="Times New Roman" w:eastAsia="Times New Roman" w:hAnsi="Times New Roman"/>
          <w:sz w:val="24"/>
          <w:szCs w:val="24"/>
        </w:rPr>
        <w:t xml:space="preserve"/>
      </w:r>
    </w:p>
    <w:p>
      <w:pPr>
        <w:spacing w:after="100" w:before="200" w:line="276"/>
        <w:jc w:val="left"/>
      </w:pPr>
      <w:r>
        <w:rPr>
          <w:rFonts w:ascii="Times New Roman" w:cs="Times New Roman" w:eastAsia="Times New Roman" w:hAnsi="Times New Roman"/>
          <w:b/>
          <w:bCs/>
          <w:color w:val="000000"/>
          <w:sz w:val="24"/>
          <w:szCs w:val="24"/>
        </w:rPr>
        <w:t xml:space="preserve">5.5. Propuesta de Unidad Regional de Prospectiva (en revisión institucional)</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quinto trabajo es una propuesta técnica para la creación de la Unidad Regional de Prospectiva del Gobierno Regional de Piura, con un presupuesto referencial de S/ 1,298,250. El sistema integró el marco normativo del CEPLAN con la experiencia del modelo de Singapur en planificación estratégica a largo plazo. El investigador aportó el conocimiento institucional sobre el funcionamiento real del GORE Piura. La propuesta está en proceso de validación con actores institucionales.</w:t>
      </w:r>
    </w:p>
    <w:p>
      <w:pPr>
        <w:spacing w:after="240" w:before="0"/>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6. Discusión</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Los cinco casos presentados comparten un denominador común que no siempre aparece en la literatura sobre IA en investigación académica: la calidad del output del sistema es directamente proporcional a la calidad del conocimiento que el investigador aporta al proceso. Cuando el investigador llega con datos verificados, marcos teóricos sólidos y capacidad crítica para detectar errores del sistema, el output es de alto valor académico. Cuando llega sin esos insumos, el sistema produce texto fluido pero vacuo.</w:t>
      </w:r>
    </w:p>
    <w:p>
      <w:pPr>
        <w:spacing w:after="80" w:before="0"/>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Esta observación tiene una implicación directa para la formación de investigadores latinoamericanos: la IA no es un atajo para quien no sabe -- es un amplificador para quien ya sabe. Los programas de posgrado que incorporen la IA como herramienta metodológica deberán hacerlo no sustituyendo el dominio disciplinario sino poténciándolo.</w:t>
      </w:r>
    </w:p>
    <w:p>
      <w:pPr>
        <w:spacing w:after="80" w:before="0"/>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Una segunda implicación concierne a la transparencia académica. SciAgent v3 incluye un mecanismo de declaración explícita del uso de IA en todos sus outputs: qué produjo el sistema, qué decidió el investigador, qué datos fueron aportados y cuáles fueron construidos por el modelo. Esa transparencia no es una concesión a las políticas editoriales -- es una condición de integridad científica.</w:t>
      </w:r>
    </w:p>
    <w:p>
      <w:pPr>
        <w:spacing w:after="240" w:before="0"/>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7. Conclusiones y agenda de trabajo</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SciAgent v3 es una propuesta replicable, documentada y de código abierto para la incorporación de sistemas multiagente en los flujos de trabajo de investigadores académicos latinoamericanos. Su aporte no es técnicamente sofisticado en el sentido de requerir infraestructura especializada -- puede ejecutarse desde cualquier computador con conexión a internet y acceso a la API de Anthropic.</w:t>
      </w:r>
    </w:p>
    <w:p>
      <w:pPr>
        <w:spacing w:after="80" w:before="0"/>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agenda de trabajo que este sistema abre tiene cinco líneas. La primera es la validación externa de los cinco trabajos producidos mediante el proceso de revisión por pares de las revistas a las que han sido enviados. La segunda es la mejora del Agente 0 (Verificador Previo) para incluir verificación automática de la disponibilidad de datos antes de iniciar el pipeline. La tercera es la adaptación del sistema a otras disciplinas y contextos institucionales latinoamericanos. La cuarta es el desarrollo de un protocolo de evaluación de la calidad de los outputs del sistema que pueda ser aplicado por investigadores externos. Y la quinta es la construcción de una comunidad de práctica de investigadores latinoamericanos que compartan experiencias, códigos y protocolos en español.</w:t>
      </w:r>
    </w:p>
    <w:p>
      <w:pPr>
        <w:spacing w:after="80" w:before="0"/>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código de SciAgent v3 está disponible en https://github.com/msotomayorf-code/sciagent bajo licencia MIT. El libro que documenta el proceso completo -- «De usuario a arquitecto: cómo un investigador social usa la IA para producir, auditar y validar artículos científicos sin saber programar» -- está disponible en el mismo repositorio y será depositado en Zenodo con DOI propio.</w:t>
      </w:r>
    </w:p>
    <w:p>
      <w:pPr>
        <w:spacing w:after="240" w:before="0"/>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Declaraciones del autor</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Financiamiento: Este trabajo no recibió financiamiento externo.</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Conflicto de intereses: El autor declara no tener conflicto de intereses.</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Uso de IA: Este artículo fue producido usando SciAgent v3, el sistema multiagente desarrollado por el propio autor. El investigador dirigió todas las decisiones metodológicas, aportó los datos y marcos teóricos, y validó cada sección del documento. El sistema ejecutó las tareas de procesamiento y redacción bajo la supervisión del investigador. Esta declaración sigue las guías de transparencia sobre IA de la International Association for Information and Knowledge (2025).</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Disponibilidad de datos: El código fuente de SciAgent v3 está disponible en https://github.com/msotomayorf-code/sciagent (licencia MIT). Los datos de los 33 distritos de Piura utilizados en el artículo del ICS están disponibles bajo solicitud al autor.</w:t>
      </w:r>
    </w:p>
    <w:p>
      <w:pPr>
        <w:spacing w:after="240" w:before="0"/>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Referencias</w:t>
      </w:r>
    </w:p>
    <w:p>
      <w:pPr>
        <w:spacing w:after="100" w:before="0" w:line="276"/>
        <w:ind w:left="720" w:hanging="720"/>
        <w:jc w:val="both"/>
      </w:pPr>
      <w:r>
        <w:rPr>
          <w:rFonts w:ascii="Times New Roman" w:cs="Times New Roman" w:eastAsia="Times New Roman" w:hAnsi="Times New Roman"/>
          <w:sz w:val="22"/>
          <w:szCs w:val="22"/>
        </w:rPr>
        <w:t xml:space="preserve">Alvarado Dodero, F. (2017). Los conceptos virreinato y colonia en el sujeto histórico Perú. Tesis doctoral, Universidad Pablo de Olavide, Sevilla.</w:t>
      </w:r>
    </w:p>
    <w:p>
      <w:pPr>
        <w:spacing w:after="100" w:before="0" w:line="276"/>
        <w:ind w:left="720" w:hanging="720"/>
        <w:jc w:val="both"/>
      </w:pPr>
      <w:r>
        <w:rPr>
          <w:rFonts w:ascii="Times New Roman" w:cs="Times New Roman" w:eastAsia="Times New Roman" w:hAnsi="Times New Roman"/>
          <w:sz w:val="22"/>
          <w:szCs w:val="22"/>
        </w:rPr>
        <w:t xml:space="preserve">Anthropic (2026). Claude: AI assistant (claude-sonnet-4-6). Anthropic PBC.</w:t>
      </w:r>
    </w:p>
    <w:p>
      <w:pPr>
        <w:spacing w:after="100" w:before="0" w:line="276"/>
        <w:ind w:left="720" w:hanging="720"/>
        <w:jc w:val="both"/>
      </w:pPr>
      <w:r>
        <w:rPr>
          <w:rFonts w:ascii="Times New Roman" w:cs="Times New Roman" w:eastAsia="Times New Roman" w:hAnsi="Times New Roman"/>
          <w:sz w:val="22"/>
          <w:szCs w:val="22"/>
        </w:rPr>
        <w:t xml:space="preserve">CEPLAN (2024). Guía para la elaboración de indicadores de políticas nacionales y planes estratégicos. Centro Nacional de Planeamiento Estratégico.</w:t>
      </w:r>
    </w:p>
    <w:p>
      <w:pPr>
        <w:spacing w:after="100" w:before="0" w:line="276"/>
        <w:ind w:left="720" w:hanging="720"/>
        <w:jc w:val="both"/>
      </w:pPr>
      <w:r>
        <w:rPr>
          <w:rFonts w:ascii="Times New Roman" w:cs="Times New Roman" w:eastAsia="Times New Roman" w:hAnsi="Times New Roman"/>
          <w:sz w:val="22"/>
          <w:szCs w:val="22"/>
        </w:rPr>
        <w:t xml:space="preserve">Dargent, E. (2012). El Estado en el Perú: Una agenda de investigación. Debates en Sociología, 37, 181-198.</w:t>
      </w:r>
    </w:p>
    <w:p>
      <w:pPr>
        <w:spacing w:after="100" w:before="0" w:line="276"/>
        <w:ind w:left="720" w:hanging="720"/>
        <w:jc w:val="both"/>
      </w:pPr>
      <w:r>
        <w:rPr>
          <w:rFonts w:ascii="Times New Roman" w:cs="Times New Roman" w:eastAsia="Times New Roman" w:hAnsi="Times New Roman"/>
          <w:sz w:val="22"/>
          <w:szCs w:val="22"/>
        </w:rPr>
        <w:t xml:space="preserve">Lave, J. y Wenger, E. (1991). Situated learning: Legitimate peripheral participation. Cambridge University Press.</w:t>
      </w:r>
    </w:p>
    <w:p>
      <w:pPr>
        <w:spacing w:after="100" w:before="0" w:line="276"/>
        <w:ind w:left="720" w:hanging="720"/>
        <w:jc w:val="both"/>
      </w:pPr>
      <w:r>
        <w:rPr>
          <w:rFonts w:ascii="Times New Roman" w:cs="Times New Roman" w:eastAsia="Times New Roman" w:hAnsi="Times New Roman"/>
          <w:sz w:val="22"/>
          <w:szCs w:val="22"/>
        </w:rPr>
        <w:t xml:space="preserve">Luckin, R. (2018). Machine learning and human intelligence: The future of education for the 21st century. UCL Institute of Education Press.</w:t>
      </w:r>
    </w:p>
    <w:p>
      <w:pPr>
        <w:spacing w:after="100" w:before="0" w:line="276"/>
        <w:ind w:left="720" w:hanging="720"/>
        <w:jc w:val="both"/>
      </w:pPr>
      <w:r>
        <w:rPr>
          <w:rFonts w:ascii="Times New Roman" w:cs="Times New Roman" w:eastAsia="Times New Roman" w:hAnsi="Times New Roman"/>
          <w:sz w:val="22"/>
          <w:szCs w:val="22"/>
        </w:rPr>
        <w:t xml:space="preserve">MEF (2025). Consulta Amigable -- Ejecución del Gasto, Región Piura 2022-2025. Ministerio de Economía y Finanzas.</w:t>
      </w:r>
    </w:p>
    <w:p>
      <w:pPr>
        <w:spacing w:after="100" w:before="0" w:line="276"/>
        <w:ind w:left="720" w:hanging="720"/>
        <w:jc w:val="both"/>
      </w:pPr>
      <w:r>
        <w:rPr>
          <w:rFonts w:ascii="Times New Roman" w:cs="Times New Roman" w:eastAsia="Times New Roman" w:hAnsi="Times New Roman"/>
          <w:sz w:val="22"/>
          <w:szCs w:val="22"/>
        </w:rPr>
        <w:t xml:space="preserve">O'Phelan Godoy, S. (2012). La independencia del Perú: De los Borbones a Bolívar. IEP.</w:t>
      </w:r>
    </w:p>
    <w:p>
      <w:pPr>
        <w:spacing w:after="100" w:before="0" w:line="276"/>
        <w:ind w:left="720" w:hanging="720"/>
        <w:jc w:val="both"/>
      </w:pPr>
      <w:r>
        <w:rPr>
          <w:rFonts w:ascii="Times New Roman" w:cs="Times New Roman" w:eastAsia="Times New Roman" w:hAnsi="Times New Roman"/>
          <w:sz w:val="22"/>
          <w:szCs w:val="22"/>
        </w:rPr>
        <w:t xml:space="preserve">Park, J., O'Brien, J., Cai, C., Morris, M., Liang, P. y Goodman, N. (2023). Generative agents: Interactive simulacra of human behavior. Proceedings of the 36th Annual ACM Symposium on User Interface Software and Technology, 1-22. https://doi.org/10.1145/3586183.3606763</w:t>
      </w:r>
    </w:p>
    <w:p>
      <w:pPr>
        <w:spacing w:after="100" w:before="0" w:line="276"/>
        <w:ind w:left="720" w:hanging="720"/>
        <w:jc w:val="both"/>
      </w:pPr>
      <w:r>
        <w:rPr>
          <w:rFonts w:ascii="Times New Roman" w:cs="Times New Roman" w:eastAsia="Times New Roman" w:hAnsi="Times New Roman"/>
          <w:sz w:val="22"/>
          <w:szCs w:val="22"/>
        </w:rPr>
        <w:t xml:space="preserve">Quijano, A. (2000). Colonialidad del poder, eurocentrismo y América Latina. En E. Lander (Ed.), La colonialidad del saber (pp. 201-246). CLACSO.</w:t>
      </w:r>
    </w:p>
    <w:p>
      <w:pPr>
        <w:spacing w:after="100" w:before="0" w:line="276"/>
        <w:ind w:left="720" w:hanging="720"/>
        <w:jc w:val="both"/>
      </w:pPr>
      <w:r>
        <w:rPr>
          <w:rFonts w:ascii="Times New Roman" w:cs="Times New Roman" w:eastAsia="Times New Roman" w:hAnsi="Times New Roman"/>
          <w:sz w:val="22"/>
          <w:szCs w:val="22"/>
        </w:rPr>
        <w:t xml:space="preserve">Raissi, M., Perdikaris, P. y Karniadakis, G. E. (2019). Physics-informed neural networks. Journal of Computational Physics, 378, 686-707. https://doi.org/10.1016/j.jcp.2018.10.045</w:t>
      </w:r>
    </w:p>
    <w:p>
      <w:pPr>
        <w:spacing w:after="100" w:before="0" w:line="276"/>
        <w:ind w:left="720" w:hanging="720"/>
        <w:jc w:val="both"/>
      </w:pPr>
      <w:r>
        <w:rPr>
          <w:rFonts w:ascii="Times New Roman" w:cs="Times New Roman" w:eastAsia="Times New Roman" w:hAnsi="Times New Roman"/>
          <w:sz w:val="22"/>
          <w:szCs w:val="22"/>
        </w:rPr>
        <w:t xml:space="preserve">Rojas, C. y Chiappe, A. (2024). Ecosistemas digitales e inteligencia artificial en la educación superior latinoamericana. Edutec, 87, 1-19.</w:t>
      </w:r>
    </w:p>
    <w:p>
      <w:pPr>
        <w:spacing w:after="100" w:before="0" w:line="276"/>
        <w:ind w:left="720" w:hanging="720"/>
        <w:jc w:val="both"/>
      </w:pPr>
      <w:r>
        <w:rPr>
          <w:rFonts w:ascii="Times New Roman" w:cs="Times New Roman" w:eastAsia="Times New Roman" w:hAnsi="Times New Roman"/>
          <w:sz w:val="22"/>
          <w:szCs w:val="22"/>
        </w:rPr>
        <w:t xml:space="preserve">Zawacki-Richter, O., Marín, V. I., Bond, M. y Gouverneur, F. (2019). Systematic review of research on artificial intelligence applications in higher education. International Journal of Educational Technology in Higher Education, 16, 39. https://doi.org/10.1186/s41239-019-0171-0</w:t>
      </w:r>
    </w:p>
    <w:p>
      <w:pPr>
        <w:spacing w:after="100" w:before="0" w:line="276"/>
        <w:ind w:left="720" w:hanging="720"/>
        <w:jc w:val="both"/>
      </w:pPr>
      <w:r>
        <w:rPr>
          <w:rFonts w:ascii="Times New Roman" w:cs="Times New Roman" w:eastAsia="Times New Roman" w:hAnsi="Times New Roman"/>
          <w:sz w:val="22"/>
          <w:szCs w:val="22"/>
        </w:rPr>
        <w:t xml:space="preserve">Sotomayor-Fernández, M. J. (2026). De usuario a arquitecto: cómo un investigador social usa la IA para producir, auditar y validar artículos científicos sin saber programar. Repositorio GitHub / Zenodo [preprint].</w:t>
      </w:r>
    </w:p>
    <w:sectPr>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2026-10-09T11:32:46.772Z</dcterms:created>
  <dcterms:modified xsi:type="dcterms:W3CDTF">2026-10-09T11:32:46.772Z</dcterms:modified>
</cp:coreProperties>
</file>

<file path=docProps/custom.xml><?xml version="1.0" encoding="utf-8"?>
<Properties xmlns="http://schemas.openxmlformats.org/officeDocument/2006/custom-properties" xmlns:vt="http://schemas.openxmlformats.org/officeDocument/2006/docPropsVTypes"/>
</file>