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9E73" w14:textId="77777777" w:rsidR="00484EA9" w:rsidRDefault="00000000">
      <w:pPr>
        <w:pStyle w:val="Title"/>
      </w:pPr>
      <w:r>
        <w:t>ERP Migration Technical Document</w:t>
      </w:r>
    </w:p>
    <w:p w14:paraId="671D8B0D" w14:textId="77777777" w:rsidR="00484EA9" w:rsidRDefault="00000000">
      <w:pPr>
        <w:pStyle w:val="Heading1"/>
      </w:pPr>
      <w:r>
        <w:t>1. Scope</w:t>
      </w:r>
    </w:p>
    <w:p w14:paraId="736C536D" w14:textId="77777777" w:rsidR="00484EA9" w:rsidRDefault="00000000">
      <w:r>
        <w:t>This document covers ERP On-Premises to Cloud migration and ERP Cloud-to-Cloud migration including financial reconciliation, compliance, integration, and cutover governance.</w:t>
      </w:r>
    </w:p>
    <w:p w14:paraId="1DC97768" w14:textId="77777777" w:rsidR="00484EA9" w:rsidRDefault="00000000">
      <w:pPr>
        <w:pStyle w:val="Heading1"/>
      </w:pPr>
      <w:r>
        <w:t>2. Pre-Migration Assessment (Mandatory)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EA9" w14:paraId="61396AB2" w14:textId="77777777" w:rsidTr="009226F9">
        <w:trPr>
          <w:jc w:val="center"/>
        </w:trPr>
        <w:tc>
          <w:tcPr>
            <w:tcW w:w="2880" w:type="dxa"/>
          </w:tcPr>
          <w:p w14:paraId="54F69F88" w14:textId="77777777" w:rsidR="00484EA9" w:rsidRDefault="00000000">
            <w:r>
              <w:t>Step</w:t>
            </w:r>
          </w:p>
        </w:tc>
        <w:tc>
          <w:tcPr>
            <w:tcW w:w="2880" w:type="dxa"/>
          </w:tcPr>
          <w:p w14:paraId="1452FA94" w14:textId="77777777" w:rsidR="00484EA9" w:rsidRDefault="00000000">
            <w:r>
              <w:t>Activity</w:t>
            </w:r>
          </w:p>
        </w:tc>
        <w:tc>
          <w:tcPr>
            <w:tcW w:w="2880" w:type="dxa"/>
          </w:tcPr>
          <w:p w14:paraId="4E63AEE5" w14:textId="77777777" w:rsidR="00484EA9" w:rsidRDefault="00000000">
            <w:r>
              <w:t>Deliverable</w:t>
            </w:r>
          </w:p>
        </w:tc>
      </w:tr>
      <w:tr w:rsidR="00484EA9" w14:paraId="52490492" w14:textId="77777777" w:rsidTr="009226F9">
        <w:trPr>
          <w:jc w:val="center"/>
        </w:trPr>
        <w:tc>
          <w:tcPr>
            <w:tcW w:w="2880" w:type="dxa"/>
          </w:tcPr>
          <w:p w14:paraId="72BF10E4" w14:textId="77777777" w:rsidR="00484EA9" w:rsidRDefault="00000000">
            <w:r>
              <w:t>1</w:t>
            </w:r>
          </w:p>
        </w:tc>
        <w:tc>
          <w:tcPr>
            <w:tcW w:w="2880" w:type="dxa"/>
          </w:tcPr>
          <w:p w14:paraId="26F8000D" w14:textId="77777777" w:rsidR="00484EA9" w:rsidRDefault="00000000">
            <w:r>
              <w:t>Business Process Mapping</w:t>
            </w:r>
          </w:p>
        </w:tc>
        <w:tc>
          <w:tcPr>
            <w:tcW w:w="2880" w:type="dxa"/>
          </w:tcPr>
          <w:p w14:paraId="1326CB11" w14:textId="77777777" w:rsidR="00484EA9" w:rsidRDefault="00000000">
            <w:r>
              <w:t>Process Blueprint</w:t>
            </w:r>
          </w:p>
        </w:tc>
      </w:tr>
      <w:tr w:rsidR="00484EA9" w14:paraId="0863DC31" w14:textId="77777777" w:rsidTr="009226F9">
        <w:trPr>
          <w:jc w:val="center"/>
        </w:trPr>
        <w:tc>
          <w:tcPr>
            <w:tcW w:w="2880" w:type="dxa"/>
          </w:tcPr>
          <w:p w14:paraId="5641341F" w14:textId="77777777" w:rsidR="00484EA9" w:rsidRDefault="00000000">
            <w:r>
              <w:t>2</w:t>
            </w:r>
          </w:p>
        </w:tc>
        <w:tc>
          <w:tcPr>
            <w:tcW w:w="2880" w:type="dxa"/>
          </w:tcPr>
          <w:p w14:paraId="1E79765C" w14:textId="77777777" w:rsidR="00484EA9" w:rsidRDefault="00000000">
            <w:r>
              <w:t>Custom Code &amp; Enhancement Audit</w:t>
            </w:r>
          </w:p>
        </w:tc>
        <w:tc>
          <w:tcPr>
            <w:tcW w:w="2880" w:type="dxa"/>
          </w:tcPr>
          <w:p w14:paraId="34BE6CE2" w14:textId="77777777" w:rsidR="00484EA9" w:rsidRDefault="00000000">
            <w:r>
              <w:t>Customization Report</w:t>
            </w:r>
          </w:p>
        </w:tc>
      </w:tr>
      <w:tr w:rsidR="00484EA9" w14:paraId="0A89BD7C" w14:textId="77777777" w:rsidTr="009226F9">
        <w:trPr>
          <w:jc w:val="center"/>
        </w:trPr>
        <w:tc>
          <w:tcPr>
            <w:tcW w:w="2880" w:type="dxa"/>
          </w:tcPr>
          <w:p w14:paraId="7A02FF37" w14:textId="77777777" w:rsidR="00484EA9" w:rsidRDefault="00000000">
            <w:r>
              <w:t>3</w:t>
            </w:r>
          </w:p>
        </w:tc>
        <w:tc>
          <w:tcPr>
            <w:tcW w:w="2880" w:type="dxa"/>
          </w:tcPr>
          <w:p w14:paraId="6005E2C1" w14:textId="77777777" w:rsidR="00484EA9" w:rsidRDefault="00000000">
            <w:r>
              <w:t>Interface &amp; Integration Inventory</w:t>
            </w:r>
          </w:p>
        </w:tc>
        <w:tc>
          <w:tcPr>
            <w:tcW w:w="2880" w:type="dxa"/>
          </w:tcPr>
          <w:p w14:paraId="5CD8F707" w14:textId="77777777" w:rsidR="00484EA9" w:rsidRDefault="00000000">
            <w:r>
              <w:t>Integration Matrix</w:t>
            </w:r>
          </w:p>
        </w:tc>
      </w:tr>
      <w:tr w:rsidR="00484EA9" w14:paraId="5D7AF914" w14:textId="77777777" w:rsidTr="009226F9">
        <w:trPr>
          <w:jc w:val="center"/>
        </w:trPr>
        <w:tc>
          <w:tcPr>
            <w:tcW w:w="2880" w:type="dxa"/>
          </w:tcPr>
          <w:p w14:paraId="6136EDC6" w14:textId="77777777" w:rsidR="00484EA9" w:rsidRDefault="00000000">
            <w:r>
              <w:t>4</w:t>
            </w:r>
          </w:p>
        </w:tc>
        <w:tc>
          <w:tcPr>
            <w:tcW w:w="2880" w:type="dxa"/>
          </w:tcPr>
          <w:p w14:paraId="134CB9D2" w14:textId="77777777" w:rsidR="00484EA9" w:rsidRDefault="00000000">
            <w:r>
              <w:t>Data Volume &amp; Quality Analysis</w:t>
            </w:r>
          </w:p>
        </w:tc>
        <w:tc>
          <w:tcPr>
            <w:tcW w:w="2880" w:type="dxa"/>
          </w:tcPr>
          <w:p w14:paraId="01816E8E" w14:textId="77777777" w:rsidR="00484EA9" w:rsidRDefault="00000000">
            <w:r>
              <w:t>Data Assessment Report</w:t>
            </w:r>
          </w:p>
        </w:tc>
      </w:tr>
      <w:tr w:rsidR="00484EA9" w14:paraId="3FFFDA84" w14:textId="77777777" w:rsidTr="009226F9">
        <w:trPr>
          <w:jc w:val="center"/>
        </w:trPr>
        <w:tc>
          <w:tcPr>
            <w:tcW w:w="2880" w:type="dxa"/>
          </w:tcPr>
          <w:p w14:paraId="51B256A6" w14:textId="77777777" w:rsidR="00484EA9" w:rsidRDefault="00000000">
            <w:r>
              <w:t>5</w:t>
            </w:r>
          </w:p>
        </w:tc>
        <w:tc>
          <w:tcPr>
            <w:tcW w:w="2880" w:type="dxa"/>
          </w:tcPr>
          <w:p w14:paraId="41B2F034" w14:textId="77777777" w:rsidR="00484EA9" w:rsidRDefault="00000000">
            <w:r>
              <w:t>Compliance &amp; Regulatory Review</w:t>
            </w:r>
          </w:p>
        </w:tc>
        <w:tc>
          <w:tcPr>
            <w:tcW w:w="2880" w:type="dxa"/>
          </w:tcPr>
          <w:p w14:paraId="08B5C2D3" w14:textId="77777777" w:rsidR="00484EA9" w:rsidRDefault="00000000">
            <w:r>
              <w:t>Compliance Checklist</w:t>
            </w:r>
          </w:p>
        </w:tc>
      </w:tr>
    </w:tbl>
    <w:p w14:paraId="556EC6D4" w14:textId="77777777" w:rsidR="00484EA9" w:rsidRDefault="00000000">
      <w:pPr>
        <w:pStyle w:val="Heading1"/>
      </w:pPr>
      <w:r>
        <w:t>3. Migration Strategy Options</w:t>
      </w:r>
    </w:p>
    <w:p w14:paraId="15CE9ACB" w14:textId="77777777" w:rsidR="00484EA9" w:rsidRDefault="00000000">
      <w:r>
        <w:t>• Rehost (Lift &amp; Shift to IaaS)</w:t>
      </w:r>
    </w:p>
    <w:p w14:paraId="3215272D" w14:textId="77777777" w:rsidR="00484EA9" w:rsidRDefault="00000000">
      <w:r>
        <w:t>• Replatform</w:t>
      </w:r>
    </w:p>
    <w:p w14:paraId="708CC37C" w14:textId="77777777" w:rsidR="00484EA9" w:rsidRDefault="00000000">
      <w:r>
        <w:t>• Refactor to SaaS</w:t>
      </w:r>
    </w:p>
    <w:p w14:paraId="63345997" w14:textId="77777777" w:rsidR="00484EA9" w:rsidRDefault="00000000">
      <w:r>
        <w:t>• Full Re-implementation</w:t>
      </w:r>
    </w:p>
    <w:p w14:paraId="6A5DE546" w14:textId="77777777" w:rsidR="00484EA9" w:rsidRDefault="00000000">
      <w:pPr>
        <w:pStyle w:val="Heading1"/>
      </w:pPr>
      <w:r>
        <w:t>4. Data Migration Phases</w:t>
      </w:r>
    </w:p>
    <w:p w14:paraId="2F318C17" w14:textId="77777777" w:rsidR="00484EA9" w:rsidRDefault="00000000">
      <w:r>
        <w:t>• Data Cleansing &amp; Standardization</w:t>
      </w:r>
    </w:p>
    <w:p w14:paraId="1AD82A25" w14:textId="77777777" w:rsidR="00484EA9" w:rsidRDefault="00000000">
      <w:r>
        <w:t>• Data Mapping &amp; Transformation Rules</w:t>
      </w:r>
    </w:p>
    <w:p w14:paraId="71D59479" w14:textId="77777777" w:rsidR="00484EA9" w:rsidRDefault="00000000">
      <w:r>
        <w:t>• Mock Load &amp; Reconciliation</w:t>
      </w:r>
    </w:p>
    <w:p w14:paraId="29ADC74A" w14:textId="77777777" w:rsidR="00484EA9" w:rsidRDefault="00000000">
      <w:r>
        <w:t>• Final Cutover Migration</w:t>
      </w:r>
    </w:p>
    <w:p w14:paraId="0AC339ED" w14:textId="77777777" w:rsidR="00484EA9" w:rsidRDefault="00000000">
      <w:pPr>
        <w:pStyle w:val="Heading1"/>
      </w:pPr>
      <w:r>
        <w:lastRenderedPageBreak/>
        <w:t>5. Mandatory Financial Controls</w:t>
      </w:r>
    </w:p>
    <w:p w14:paraId="7E91FCFB" w14:textId="77777777" w:rsidR="00484EA9" w:rsidRDefault="00000000">
      <w:r>
        <w:t>• Trial Balance Reconciliation</w:t>
      </w:r>
    </w:p>
    <w:p w14:paraId="41A318C1" w14:textId="77777777" w:rsidR="00484EA9" w:rsidRDefault="00000000">
      <w:r>
        <w:t>• Tax Validation</w:t>
      </w:r>
    </w:p>
    <w:p w14:paraId="28F9696C" w14:textId="77777777" w:rsidR="00484EA9" w:rsidRDefault="00000000">
      <w:r>
        <w:t>• Inventory &amp; Open Transaction Validation</w:t>
      </w:r>
    </w:p>
    <w:p w14:paraId="034E2EC0" w14:textId="77777777" w:rsidR="00484EA9" w:rsidRDefault="00000000">
      <w:r>
        <w:t>• Segregation of Duties (SoD) Review</w:t>
      </w:r>
    </w:p>
    <w:p w14:paraId="69643F68" w14:textId="77777777" w:rsidR="00484EA9" w:rsidRDefault="00000000">
      <w:pPr>
        <w:pStyle w:val="Heading1"/>
      </w:pPr>
      <w:r>
        <w:t>6. Cutover &amp; Hypercare</w:t>
      </w:r>
    </w:p>
    <w:p w14:paraId="45E179CF" w14:textId="77777777" w:rsidR="00484EA9" w:rsidRDefault="00000000">
      <w:r>
        <w:t>• Business Freeze Window</w:t>
      </w:r>
    </w:p>
    <w:p w14:paraId="760AE2CC" w14:textId="77777777" w:rsidR="00484EA9" w:rsidRDefault="00000000">
      <w:r>
        <w:t>• Final Data Extraction &amp; Load</w:t>
      </w:r>
    </w:p>
    <w:p w14:paraId="1AAB9BD4" w14:textId="77777777" w:rsidR="00484EA9" w:rsidRDefault="00000000">
      <w:r>
        <w:t>• Executive Go-Live Approval</w:t>
      </w:r>
    </w:p>
    <w:p w14:paraId="4485E743" w14:textId="77777777" w:rsidR="00484EA9" w:rsidRDefault="00000000">
      <w:r>
        <w:t>• Hypercare Support (2–4 Weeks)</w:t>
      </w:r>
    </w:p>
    <w:p w14:paraId="6005C79C" w14:textId="77777777" w:rsidR="00484EA9" w:rsidRDefault="00000000">
      <w:pPr>
        <w:pStyle w:val="Heading1"/>
      </w:pPr>
      <w:r>
        <w:t>7. Governance &amp; Risk Management</w:t>
      </w:r>
    </w:p>
    <w:p w14:paraId="58C79672" w14:textId="77777777" w:rsidR="00484EA9" w:rsidRDefault="00000000">
      <w:r>
        <w:t>• Change Advisory Board Approval</w:t>
      </w:r>
    </w:p>
    <w:p w14:paraId="7BE36708" w14:textId="77777777" w:rsidR="00484EA9" w:rsidRDefault="00000000">
      <w:r>
        <w:t>• Disaster Recovery Validation</w:t>
      </w:r>
    </w:p>
    <w:p w14:paraId="5DF49305" w14:textId="77777777" w:rsidR="00484EA9" w:rsidRDefault="00000000">
      <w:r>
        <w:t>• Security Role Mapping &amp; Access Certification</w:t>
      </w:r>
    </w:p>
    <w:p w14:paraId="0AB8FD10" w14:textId="77777777" w:rsidR="00484EA9" w:rsidRDefault="00000000">
      <w:r>
        <w:t>• Post-Go-Live Audit &amp; Compliance Review</w:t>
      </w:r>
    </w:p>
    <w:sectPr w:rsidR="00484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990999">
    <w:abstractNumId w:val="8"/>
  </w:num>
  <w:num w:numId="2" w16cid:durableId="555161002">
    <w:abstractNumId w:val="6"/>
  </w:num>
  <w:num w:numId="3" w16cid:durableId="1930849644">
    <w:abstractNumId w:val="5"/>
  </w:num>
  <w:num w:numId="4" w16cid:durableId="865366904">
    <w:abstractNumId w:val="4"/>
  </w:num>
  <w:num w:numId="5" w16cid:durableId="1595019471">
    <w:abstractNumId w:val="7"/>
  </w:num>
  <w:num w:numId="6" w16cid:durableId="451435921">
    <w:abstractNumId w:val="3"/>
  </w:num>
  <w:num w:numId="7" w16cid:durableId="1317034472">
    <w:abstractNumId w:val="2"/>
  </w:num>
  <w:num w:numId="8" w16cid:durableId="1018429725">
    <w:abstractNumId w:val="1"/>
  </w:num>
  <w:num w:numId="9" w16cid:durableId="167965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EA9"/>
    <w:rsid w:val="006656D0"/>
    <w:rsid w:val="009226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BEE17"/>
  <w14:defaultImageDpi w14:val="300"/>
  <w15:docId w15:val="{9D150AF0-ED61-4B89-8344-B09CF854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 Mukherjee</cp:lastModifiedBy>
  <cp:revision>2</cp:revision>
  <dcterms:created xsi:type="dcterms:W3CDTF">2013-12-23T23:15:00Z</dcterms:created>
  <dcterms:modified xsi:type="dcterms:W3CDTF">2026-02-20T15:51:00Z</dcterms:modified>
  <cp:category/>
</cp:coreProperties>
</file>