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30202" w14:textId="77777777" w:rsidR="00081E2A" w:rsidRDefault="00000000">
      <w:pPr>
        <w:pStyle w:val="Title"/>
      </w:pPr>
      <w:r>
        <w:t>SharePoint Migration Technical Runbook</w:t>
      </w:r>
    </w:p>
    <w:p w14:paraId="7090AD89" w14:textId="77777777" w:rsidR="00081E2A" w:rsidRDefault="00000000">
      <w:pPr>
        <w:pStyle w:val="Heading1"/>
      </w:pPr>
      <w:r>
        <w:t>1. Introduction</w:t>
      </w:r>
    </w:p>
    <w:p w14:paraId="795E646A" w14:textId="77777777" w:rsidR="00081E2A" w:rsidRDefault="00000000">
      <w:r>
        <w:t>This document provides a detailed technical procedure for SharePoint On-Premises to SharePoint Online and SharePoint Online to Online (Tenant-to-Tenant) migrations. It includes assessment, planning, execution, validation, governance, rollback, and decommissioning steps.</w:t>
      </w:r>
    </w:p>
    <w:p w14:paraId="353F3C41" w14:textId="77777777" w:rsidR="00081E2A" w:rsidRDefault="00000000">
      <w:pPr>
        <w:pStyle w:val="Heading1"/>
      </w:pPr>
      <w:r>
        <w:t>2. Detailed Pre-Migration Assessment (Mandatory)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94"/>
        <w:gridCol w:w="2160"/>
      </w:tblGrid>
      <w:tr w:rsidR="00081E2A" w14:paraId="6EF371F1" w14:textId="77777777" w:rsidTr="00C953AA">
        <w:trPr>
          <w:jc w:val="center"/>
        </w:trPr>
        <w:tc>
          <w:tcPr>
            <w:tcW w:w="2160" w:type="dxa"/>
          </w:tcPr>
          <w:p w14:paraId="55F76C4B" w14:textId="77777777" w:rsidR="00081E2A" w:rsidRDefault="00000000">
            <w:r>
              <w:t>#</w:t>
            </w:r>
          </w:p>
        </w:tc>
        <w:tc>
          <w:tcPr>
            <w:tcW w:w="2160" w:type="dxa"/>
          </w:tcPr>
          <w:p w14:paraId="10025B8E" w14:textId="77777777" w:rsidR="00081E2A" w:rsidRDefault="00000000">
            <w:r>
              <w:t>Assessment Area</w:t>
            </w:r>
          </w:p>
        </w:tc>
        <w:tc>
          <w:tcPr>
            <w:tcW w:w="2160" w:type="dxa"/>
          </w:tcPr>
          <w:p w14:paraId="457F160D" w14:textId="77777777" w:rsidR="00081E2A" w:rsidRDefault="00000000">
            <w:r>
              <w:t>Detailed Activities</w:t>
            </w:r>
          </w:p>
        </w:tc>
        <w:tc>
          <w:tcPr>
            <w:tcW w:w="2160" w:type="dxa"/>
          </w:tcPr>
          <w:p w14:paraId="377DC4CB" w14:textId="77777777" w:rsidR="00081E2A" w:rsidRDefault="00000000">
            <w:r>
              <w:t>Output Deliverable</w:t>
            </w:r>
          </w:p>
        </w:tc>
      </w:tr>
      <w:tr w:rsidR="00081E2A" w14:paraId="4343046A" w14:textId="77777777" w:rsidTr="00C953AA">
        <w:trPr>
          <w:jc w:val="center"/>
        </w:trPr>
        <w:tc>
          <w:tcPr>
            <w:tcW w:w="2160" w:type="dxa"/>
          </w:tcPr>
          <w:p w14:paraId="0C670E5C" w14:textId="77777777" w:rsidR="00081E2A" w:rsidRDefault="00000000">
            <w:r>
              <w:t>1</w:t>
            </w:r>
          </w:p>
        </w:tc>
        <w:tc>
          <w:tcPr>
            <w:tcW w:w="2160" w:type="dxa"/>
          </w:tcPr>
          <w:p w14:paraId="689E90CC" w14:textId="77777777" w:rsidR="00081E2A" w:rsidRDefault="00000000">
            <w:r>
              <w:t>Infrastructure Discovery</w:t>
            </w:r>
          </w:p>
        </w:tc>
        <w:tc>
          <w:tcPr>
            <w:tcW w:w="2160" w:type="dxa"/>
          </w:tcPr>
          <w:p w14:paraId="2625D6D9" w14:textId="77777777" w:rsidR="00081E2A" w:rsidRDefault="00000000">
            <w:r>
              <w:t>Identify Farm topology, SQL versions, patch levels, service applications, storage growth trends.</w:t>
            </w:r>
          </w:p>
        </w:tc>
        <w:tc>
          <w:tcPr>
            <w:tcW w:w="2160" w:type="dxa"/>
          </w:tcPr>
          <w:p w14:paraId="14B01C86" w14:textId="77777777" w:rsidR="00081E2A" w:rsidRDefault="00000000">
            <w:r>
              <w:t>Infrastructure Discovery Report</w:t>
            </w:r>
          </w:p>
        </w:tc>
      </w:tr>
      <w:tr w:rsidR="00081E2A" w14:paraId="2413C863" w14:textId="77777777" w:rsidTr="00C953AA">
        <w:trPr>
          <w:jc w:val="center"/>
        </w:trPr>
        <w:tc>
          <w:tcPr>
            <w:tcW w:w="2160" w:type="dxa"/>
          </w:tcPr>
          <w:p w14:paraId="7D0D3823" w14:textId="77777777" w:rsidR="00081E2A" w:rsidRDefault="00000000">
            <w:r>
              <w:t>2</w:t>
            </w:r>
          </w:p>
        </w:tc>
        <w:tc>
          <w:tcPr>
            <w:tcW w:w="2160" w:type="dxa"/>
          </w:tcPr>
          <w:p w14:paraId="7F2F8A8D" w14:textId="77777777" w:rsidR="00081E2A" w:rsidRDefault="00000000">
            <w:r>
              <w:t>Content Inventory</w:t>
            </w:r>
          </w:p>
        </w:tc>
        <w:tc>
          <w:tcPr>
            <w:tcW w:w="2160" w:type="dxa"/>
          </w:tcPr>
          <w:p w14:paraId="5DE33C88" w14:textId="77777777" w:rsidR="00081E2A" w:rsidRDefault="00000000">
            <w:r>
              <w:t>Export site collections, subsites, list/library counts, file size distribution, orphaned objects.</w:t>
            </w:r>
          </w:p>
        </w:tc>
        <w:tc>
          <w:tcPr>
            <w:tcW w:w="2160" w:type="dxa"/>
          </w:tcPr>
          <w:p w14:paraId="71960A3D" w14:textId="77777777" w:rsidR="00081E2A" w:rsidRDefault="00000000">
            <w:r>
              <w:t>Content Inventory Spreadsheet</w:t>
            </w:r>
          </w:p>
        </w:tc>
      </w:tr>
      <w:tr w:rsidR="00081E2A" w14:paraId="6997A250" w14:textId="77777777" w:rsidTr="00C953AA">
        <w:trPr>
          <w:jc w:val="center"/>
        </w:trPr>
        <w:tc>
          <w:tcPr>
            <w:tcW w:w="2160" w:type="dxa"/>
          </w:tcPr>
          <w:p w14:paraId="25FB4C1E" w14:textId="77777777" w:rsidR="00081E2A" w:rsidRDefault="00000000">
            <w:r>
              <w:t>3</w:t>
            </w:r>
          </w:p>
        </w:tc>
        <w:tc>
          <w:tcPr>
            <w:tcW w:w="2160" w:type="dxa"/>
          </w:tcPr>
          <w:p w14:paraId="34A3DFAF" w14:textId="77777777" w:rsidR="00081E2A" w:rsidRDefault="00000000">
            <w:r>
              <w:t>Customization Audit</w:t>
            </w:r>
          </w:p>
        </w:tc>
        <w:tc>
          <w:tcPr>
            <w:tcW w:w="2160" w:type="dxa"/>
          </w:tcPr>
          <w:p w14:paraId="0DC90CAD" w14:textId="77777777" w:rsidR="00081E2A" w:rsidRDefault="00000000">
            <w:r>
              <w:t>Review WSP solutions, farm solutions, sandbox solutions, custom web parts, master pages, branding.</w:t>
            </w:r>
          </w:p>
        </w:tc>
        <w:tc>
          <w:tcPr>
            <w:tcW w:w="2160" w:type="dxa"/>
          </w:tcPr>
          <w:p w14:paraId="74F802FD" w14:textId="77777777" w:rsidR="00081E2A" w:rsidRDefault="00000000">
            <w:r>
              <w:t>Customization Remediation Plan</w:t>
            </w:r>
          </w:p>
        </w:tc>
      </w:tr>
      <w:tr w:rsidR="00081E2A" w14:paraId="7D91953F" w14:textId="77777777" w:rsidTr="00C953AA">
        <w:trPr>
          <w:jc w:val="center"/>
        </w:trPr>
        <w:tc>
          <w:tcPr>
            <w:tcW w:w="2160" w:type="dxa"/>
          </w:tcPr>
          <w:p w14:paraId="793AC162" w14:textId="77777777" w:rsidR="00081E2A" w:rsidRDefault="00000000">
            <w:r>
              <w:t>4</w:t>
            </w:r>
          </w:p>
        </w:tc>
        <w:tc>
          <w:tcPr>
            <w:tcW w:w="2160" w:type="dxa"/>
          </w:tcPr>
          <w:p w14:paraId="5E19C323" w14:textId="77777777" w:rsidR="00081E2A" w:rsidRDefault="00000000">
            <w:r>
              <w:t>Workflow Audit</w:t>
            </w:r>
          </w:p>
        </w:tc>
        <w:tc>
          <w:tcPr>
            <w:tcW w:w="2160" w:type="dxa"/>
          </w:tcPr>
          <w:p w14:paraId="1D5FFD58" w14:textId="77777777" w:rsidR="00081E2A" w:rsidRDefault="00000000">
            <w:r>
              <w:t>Identify SharePoint Designer workflows, Nintex workflows, InfoPath forms, Power Automate flows.</w:t>
            </w:r>
          </w:p>
        </w:tc>
        <w:tc>
          <w:tcPr>
            <w:tcW w:w="2160" w:type="dxa"/>
          </w:tcPr>
          <w:p w14:paraId="0686D477" w14:textId="77777777" w:rsidR="00081E2A" w:rsidRDefault="00000000">
            <w:r>
              <w:t>Workflow Migration Plan</w:t>
            </w:r>
          </w:p>
        </w:tc>
      </w:tr>
      <w:tr w:rsidR="00081E2A" w14:paraId="55FFFB85" w14:textId="77777777" w:rsidTr="00C953AA">
        <w:trPr>
          <w:jc w:val="center"/>
        </w:trPr>
        <w:tc>
          <w:tcPr>
            <w:tcW w:w="2160" w:type="dxa"/>
          </w:tcPr>
          <w:p w14:paraId="55177EAE" w14:textId="77777777" w:rsidR="00081E2A" w:rsidRDefault="00000000">
            <w:r>
              <w:lastRenderedPageBreak/>
              <w:t>5</w:t>
            </w:r>
          </w:p>
        </w:tc>
        <w:tc>
          <w:tcPr>
            <w:tcW w:w="2160" w:type="dxa"/>
          </w:tcPr>
          <w:p w14:paraId="0163CF87" w14:textId="77777777" w:rsidR="00081E2A" w:rsidRDefault="00000000">
            <w:r>
              <w:t>Authentication &amp; Identity</w:t>
            </w:r>
          </w:p>
        </w:tc>
        <w:tc>
          <w:tcPr>
            <w:tcW w:w="2160" w:type="dxa"/>
          </w:tcPr>
          <w:p w14:paraId="6D1D1A40" w14:textId="77777777" w:rsidR="00081E2A" w:rsidRDefault="00000000">
            <w:r>
              <w:t>Review NTLM/Claims/ADFS, Azure AD Connect status, UPN alignment, MFA readiness.</w:t>
            </w:r>
          </w:p>
        </w:tc>
        <w:tc>
          <w:tcPr>
            <w:tcW w:w="2160" w:type="dxa"/>
          </w:tcPr>
          <w:p w14:paraId="1084E98A" w14:textId="77777777" w:rsidR="00081E2A" w:rsidRDefault="00000000">
            <w:r>
              <w:t>Identity Architecture Document</w:t>
            </w:r>
          </w:p>
        </w:tc>
      </w:tr>
      <w:tr w:rsidR="00081E2A" w14:paraId="3F25F546" w14:textId="77777777" w:rsidTr="00C953AA">
        <w:trPr>
          <w:jc w:val="center"/>
        </w:trPr>
        <w:tc>
          <w:tcPr>
            <w:tcW w:w="2160" w:type="dxa"/>
          </w:tcPr>
          <w:p w14:paraId="5860F37C" w14:textId="77777777" w:rsidR="00081E2A" w:rsidRDefault="00000000">
            <w:r>
              <w:t>6</w:t>
            </w:r>
          </w:p>
        </w:tc>
        <w:tc>
          <w:tcPr>
            <w:tcW w:w="2160" w:type="dxa"/>
          </w:tcPr>
          <w:p w14:paraId="1A69B18B" w14:textId="77777777" w:rsidR="00081E2A" w:rsidRDefault="00000000">
            <w:r>
              <w:t>Security &amp; Permissions</w:t>
            </w:r>
          </w:p>
        </w:tc>
        <w:tc>
          <w:tcPr>
            <w:tcW w:w="2160" w:type="dxa"/>
          </w:tcPr>
          <w:p w14:paraId="63CCDEA3" w14:textId="77777777" w:rsidR="00081E2A" w:rsidRDefault="00000000">
            <w:r>
              <w:t>Extract permission inheritance breaks, AD group mapping, external sharing configuration.</w:t>
            </w:r>
          </w:p>
        </w:tc>
        <w:tc>
          <w:tcPr>
            <w:tcW w:w="2160" w:type="dxa"/>
          </w:tcPr>
          <w:p w14:paraId="4585F572" w14:textId="77777777" w:rsidR="00081E2A" w:rsidRDefault="00000000">
            <w:r>
              <w:t>Security Mapping Matrix</w:t>
            </w:r>
          </w:p>
        </w:tc>
      </w:tr>
      <w:tr w:rsidR="00081E2A" w14:paraId="6FDC9FE9" w14:textId="77777777" w:rsidTr="00C953AA">
        <w:trPr>
          <w:jc w:val="center"/>
        </w:trPr>
        <w:tc>
          <w:tcPr>
            <w:tcW w:w="2160" w:type="dxa"/>
          </w:tcPr>
          <w:p w14:paraId="2E3F569F" w14:textId="77777777" w:rsidR="00081E2A" w:rsidRDefault="00000000">
            <w:r>
              <w:t>7</w:t>
            </w:r>
          </w:p>
        </w:tc>
        <w:tc>
          <w:tcPr>
            <w:tcW w:w="2160" w:type="dxa"/>
          </w:tcPr>
          <w:p w14:paraId="4EEAE395" w14:textId="77777777" w:rsidR="00081E2A" w:rsidRDefault="00000000">
            <w:r>
              <w:t>Compliance &amp; Retention</w:t>
            </w:r>
          </w:p>
        </w:tc>
        <w:tc>
          <w:tcPr>
            <w:tcW w:w="2160" w:type="dxa"/>
          </w:tcPr>
          <w:p w14:paraId="2429B275" w14:textId="77777777" w:rsidR="00081E2A" w:rsidRDefault="00000000">
            <w:r>
              <w:t>Classify data sensitivity, retention labels, legal hold, DLP policies.</w:t>
            </w:r>
          </w:p>
        </w:tc>
        <w:tc>
          <w:tcPr>
            <w:tcW w:w="2160" w:type="dxa"/>
          </w:tcPr>
          <w:p w14:paraId="6EAFF87C" w14:textId="77777777" w:rsidR="00081E2A" w:rsidRDefault="00000000">
            <w:r>
              <w:t>Compliance Assessment Report</w:t>
            </w:r>
          </w:p>
        </w:tc>
      </w:tr>
    </w:tbl>
    <w:p w14:paraId="7DEF9903" w14:textId="77777777" w:rsidR="00081E2A" w:rsidRDefault="00000000">
      <w:pPr>
        <w:pStyle w:val="Heading1"/>
      </w:pPr>
      <w:r>
        <w:t>3. Migration Design &amp; Planning</w:t>
      </w:r>
    </w:p>
    <w:p w14:paraId="6BCE1387" w14:textId="77777777" w:rsidR="00081E2A" w:rsidRDefault="00000000">
      <w:r>
        <w:t>• Define Information Architecture (Hub Sites, Modern Experience).</w:t>
      </w:r>
    </w:p>
    <w:p w14:paraId="5BD02398" w14:textId="77777777" w:rsidR="00081E2A" w:rsidRDefault="00000000">
      <w:r>
        <w:t>• Define URL restructuring and domain alignment.</w:t>
      </w:r>
    </w:p>
    <w:p w14:paraId="5AF25A4E" w14:textId="77777777" w:rsidR="00081E2A" w:rsidRDefault="00000000">
      <w:r>
        <w:t>• Define Metadata standardization model.</w:t>
      </w:r>
    </w:p>
    <w:p w14:paraId="1E7F453E" w14:textId="77777777" w:rsidR="00081E2A" w:rsidRDefault="00000000">
      <w:r>
        <w:t>• Plan storage capacity and performance baselining.</w:t>
      </w:r>
    </w:p>
    <w:p w14:paraId="13902C60" w14:textId="77777777" w:rsidR="00081E2A" w:rsidRDefault="00000000">
      <w:r>
        <w:t>• Define batch migration waves and prioritization.</w:t>
      </w:r>
    </w:p>
    <w:p w14:paraId="1D0311FB" w14:textId="77777777" w:rsidR="00081E2A" w:rsidRDefault="00000000">
      <w:r>
        <w:t>• Prepare communication &amp; training plan.</w:t>
      </w:r>
    </w:p>
    <w:p w14:paraId="19D57904" w14:textId="77777777" w:rsidR="00081E2A" w:rsidRDefault="00000000">
      <w:pPr>
        <w:pStyle w:val="Heading1"/>
      </w:pPr>
      <w:r>
        <w:t>4. Migration Execution Phases</w:t>
      </w:r>
    </w:p>
    <w:p w14:paraId="2D905616" w14:textId="77777777" w:rsidR="00081E2A" w:rsidRDefault="00000000">
      <w:r>
        <w:t>Phase 1 – Pilot Migration</w:t>
      </w:r>
    </w:p>
    <w:p w14:paraId="15435659" w14:textId="77777777" w:rsidR="00081E2A" w:rsidRDefault="00000000">
      <w:r>
        <w:t xml:space="preserve">  - Select 1–2 low-risk site collections.</w:t>
      </w:r>
    </w:p>
    <w:p w14:paraId="53544B54" w14:textId="77777777" w:rsidR="00081E2A" w:rsidRDefault="00000000">
      <w:r>
        <w:t xml:space="preserve">  - Validate permissions, metadata, version history.</w:t>
      </w:r>
    </w:p>
    <w:p w14:paraId="63DABBCA" w14:textId="77777777" w:rsidR="00081E2A" w:rsidRDefault="00000000">
      <w:r>
        <w:t xml:space="preserve">  - Measure throughput and throttling impact.</w:t>
      </w:r>
    </w:p>
    <w:p w14:paraId="59633243" w14:textId="77777777" w:rsidR="00081E2A" w:rsidRDefault="00000000">
      <w:r>
        <w:t xml:space="preserve">  - Capture lessons learned.</w:t>
      </w:r>
    </w:p>
    <w:p w14:paraId="4D8C142C" w14:textId="77777777" w:rsidR="00081E2A" w:rsidRDefault="00000000">
      <w:r>
        <w:t>Phase 2 – Mock Migration</w:t>
      </w:r>
    </w:p>
    <w:p w14:paraId="11EEC20A" w14:textId="77777777" w:rsidR="00081E2A" w:rsidRDefault="00000000">
      <w:r>
        <w:t xml:space="preserve">  - Perform full batch migration.</w:t>
      </w:r>
    </w:p>
    <w:p w14:paraId="0F96BC3F" w14:textId="77777777" w:rsidR="00081E2A" w:rsidRDefault="00000000">
      <w:r>
        <w:lastRenderedPageBreak/>
        <w:t xml:space="preserve">  - Conduct reconciliation report (item count, file size, version count).</w:t>
      </w:r>
    </w:p>
    <w:p w14:paraId="24C082B9" w14:textId="77777777" w:rsidR="00081E2A" w:rsidRDefault="00000000">
      <w:r>
        <w:t xml:space="preserve">  - Conduct UAT and obtain signoff.</w:t>
      </w:r>
    </w:p>
    <w:p w14:paraId="0863B1C7" w14:textId="77777777" w:rsidR="00081E2A" w:rsidRDefault="00000000">
      <w:r>
        <w:t>Phase 3 – Production Cutover</w:t>
      </w:r>
    </w:p>
    <w:p w14:paraId="73A7C61A" w14:textId="77777777" w:rsidR="00081E2A" w:rsidRDefault="00000000">
      <w:r>
        <w:t xml:space="preserve">  - Freeze on-prem content.</w:t>
      </w:r>
    </w:p>
    <w:p w14:paraId="0667D719" w14:textId="77777777" w:rsidR="00081E2A" w:rsidRDefault="00000000">
      <w:r>
        <w:t xml:space="preserve">  - Execute final delta migration.</w:t>
      </w:r>
    </w:p>
    <w:p w14:paraId="58B3931A" w14:textId="77777777" w:rsidR="00081E2A" w:rsidRDefault="00000000">
      <w:r>
        <w:t xml:space="preserve">  - DNS switch and redirect configuration.</w:t>
      </w:r>
    </w:p>
    <w:p w14:paraId="7C1F2F0C" w14:textId="77777777" w:rsidR="00081E2A" w:rsidRDefault="00000000">
      <w:r>
        <w:t xml:space="preserve">  - Enable user access.</w:t>
      </w:r>
    </w:p>
    <w:p w14:paraId="535CE10F" w14:textId="77777777" w:rsidR="00081E2A" w:rsidRDefault="00000000">
      <w:r>
        <w:t xml:space="preserve">  - Initiate Hypercare support window (2–4 weeks).</w:t>
      </w:r>
    </w:p>
    <w:p w14:paraId="2D32E679" w14:textId="77777777" w:rsidR="00081E2A" w:rsidRDefault="00000000">
      <w:pPr>
        <w:pStyle w:val="Heading1"/>
      </w:pPr>
      <w:r>
        <w:t>5. Validation &amp; Reconciliation (Mandatory)</w:t>
      </w:r>
    </w:p>
    <w:p w14:paraId="14C08AA0" w14:textId="77777777" w:rsidR="00081E2A" w:rsidRDefault="00000000">
      <w:r>
        <w:t>• Item count comparison report.</w:t>
      </w:r>
    </w:p>
    <w:p w14:paraId="3992C75C" w14:textId="77777777" w:rsidR="00081E2A" w:rsidRDefault="00000000">
      <w:r>
        <w:t>• File size reconciliation report.</w:t>
      </w:r>
    </w:p>
    <w:p w14:paraId="4EF6E6D8" w14:textId="77777777" w:rsidR="00081E2A" w:rsidRDefault="00000000">
      <w:r>
        <w:t>• Metadata integrity validation.</w:t>
      </w:r>
    </w:p>
    <w:p w14:paraId="7102BED0" w14:textId="77777777" w:rsidR="00081E2A" w:rsidRDefault="00000000">
      <w:r>
        <w:t>• Permission reconciliation.</w:t>
      </w:r>
    </w:p>
    <w:p w14:paraId="115F234F" w14:textId="77777777" w:rsidR="00081E2A" w:rsidRDefault="00000000">
      <w:r>
        <w:t>• Search re-index validation.</w:t>
      </w:r>
    </w:p>
    <w:p w14:paraId="09DA36FD" w14:textId="77777777" w:rsidR="00081E2A" w:rsidRDefault="00000000">
      <w:r>
        <w:t>• Workflow &amp; integration functional testing.</w:t>
      </w:r>
    </w:p>
    <w:p w14:paraId="137C3E9C" w14:textId="77777777" w:rsidR="00081E2A" w:rsidRDefault="00000000">
      <w:r>
        <w:t>• Executive UAT approval document.</w:t>
      </w:r>
    </w:p>
    <w:p w14:paraId="207AB114" w14:textId="77777777" w:rsidR="00081E2A" w:rsidRDefault="00000000">
      <w:pPr>
        <w:pStyle w:val="Heading1"/>
      </w:pPr>
      <w:r>
        <w:t>6. Rollback Plan</w:t>
      </w:r>
    </w:p>
    <w:p w14:paraId="1DE80DE8" w14:textId="77777777" w:rsidR="00081E2A" w:rsidRDefault="00000000">
      <w:r>
        <w:t>• Maintain on-prem in read-only state for rollback window.</w:t>
      </w:r>
    </w:p>
    <w:p w14:paraId="6A6A3540" w14:textId="77777777" w:rsidR="00081E2A" w:rsidRDefault="00000000">
      <w:r>
        <w:t>• Backup farm snapshot prior to cutover.</w:t>
      </w:r>
    </w:p>
    <w:p w14:paraId="0789CC65" w14:textId="77777777" w:rsidR="00081E2A" w:rsidRDefault="00000000">
      <w:r>
        <w:t>• DNS rollback steps documented.</w:t>
      </w:r>
    </w:p>
    <w:p w14:paraId="4C72E0A2" w14:textId="77777777" w:rsidR="00081E2A" w:rsidRDefault="00000000">
      <w:r>
        <w:t>• Communication rollback notification template prepared.</w:t>
      </w:r>
    </w:p>
    <w:p w14:paraId="6E208B8D" w14:textId="77777777" w:rsidR="00081E2A" w:rsidRDefault="00000000">
      <w:pPr>
        <w:pStyle w:val="Heading1"/>
      </w:pPr>
      <w:r>
        <w:t>7. Decommission Plan</w:t>
      </w:r>
    </w:p>
    <w:p w14:paraId="7196A538" w14:textId="77777777" w:rsidR="00081E2A" w:rsidRDefault="00000000">
      <w:r>
        <w:t>• Disable incoming traffic.</w:t>
      </w:r>
    </w:p>
    <w:p w14:paraId="3B4D3F11" w14:textId="77777777" w:rsidR="00081E2A" w:rsidRDefault="00000000">
      <w:r>
        <w:t>• Archive SQL backups.</w:t>
      </w:r>
    </w:p>
    <w:p w14:paraId="1D795468" w14:textId="77777777" w:rsidR="00081E2A" w:rsidRDefault="00000000">
      <w:r>
        <w:t>• Remove farm servers from domain.</w:t>
      </w:r>
    </w:p>
    <w:p w14:paraId="52A7DC77" w14:textId="77777777" w:rsidR="00081E2A" w:rsidRDefault="00000000">
      <w:r>
        <w:lastRenderedPageBreak/>
        <w:t>• Update CMDB and asset inventory.</w:t>
      </w:r>
    </w:p>
    <w:p w14:paraId="0CC1B466" w14:textId="77777777" w:rsidR="00081E2A" w:rsidRDefault="00000000">
      <w:r>
        <w:t>• Conduct final security review.</w:t>
      </w:r>
    </w:p>
    <w:sectPr w:rsidR="00081E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6836069">
    <w:abstractNumId w:val="8"/>
  </w:num>
  <w:num w:numId="2" w16cid:durableId="1927567121">
    <w:abstractNumId w:val="6"/>
  </w:num>
  <w:num w:numId="3" w16cid:durableId="128860756">
    <w:abstractNumId w:val="5"/>
  </w:num>
  <w:num w:numId="4" w16cid:durableId="978801741">
    <w:abstractNumId w:val="4"/>
  </w:num>
  <w:num w:numId="5" w16cid:durableId="1281689837">
    <w:abstractNumId w:val="7"/>
  </w:num>
  <w:num w:numId="6" w16cid:durableId="836726744">
    <w:abstractNumId w:val="3"/>
  </w:num>
  <w:num w:numId="7" w16cid:durableId="1712076947">
    <w:abstractNumId w:val="2"/>
  </w:num>
  <w:num w:numId="8" w16cid:durableId="1377898647">
    <w:abstractNumId w:val="1"/>
  </w:num>
  <w:num w:numId="9" w16cid:durableId="1471635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B01"/>
    <w:rsid w:val="00081E2A"/>
    <w:rsid w:val="0015074B"/>
    <w:rsid w:val="0029639D"/>
    <w:rsid w:val="00326F90"/>
    <w:rsid w:val="00AA1D8D"/>
    <w:rsid w:val="00B47730"/>
    <w:rsid w:val="00C953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67610F"/>
  <w14:defaultImageDpi w14:val="300"/>
  <w15:docId w15:val="{31A7361B-C028-4B33-9851-AC0CB8441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Soumit Mukherjee</cp:lastModifiedBy>
  <cp:revision>2</cp:revision>
  <dcterms:created xsi:type="dcterms:W3CDTF">2013-12-23T23:15:00Z</dcterms:created>
  <dcterms:modified xsi:type="dcterms:W3CDTF">2026-02-20T15:52:00Z</dcterms:modified>
  <cp:category/>
</cp:coreProperties>
</file>