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Κοστολόγηση Περιστατικών ΤΑ.ΕΠ.</w:t>
      </w:r>
    </w:p>
    <w:p>
      <w:r>
        <w:rPr>
          <w:b/>
          <w:color w:val="1F3864"/>
          <w:sz w:val="24"/>
        </w:rPr>
        <w:t>Οδηγός χρήσης για τον κωδικοποιητή</w:t>
      </w:r>
    </w:p>
    <w:p>
      <w:pPr>
        <w:jc w:val="both"/>
      </w:pPr>
      <w:r>
        <w:t>Το εργαλείο κάνει ένα πράγμα: μετατρέπει τις υπηρεσίες που σημειώθηκαν στο έντυπο ΟΚΥπΥ 1-125 σε τιμή που μπορεί να υποστηριχθεί. Δεν αντικαθιστά το σύστημα ασθενών και δεν εισπράττει.</w:t>
      </w:r>
    </w:p>
    <w:p>
      <w:r>
        <w:rPr>
          <w:b/>
          <w:color w:val="1F3864"/>
          <w:sz w:val="24"/>
        </w:rPr>
        <w:t>Τι κάνετε, με τη σειρά</w:t>
      </w:r>
    </w:p>
    <w:p>
      <w:pPr>
        <w:pStyle w:val="ListNumber"/>
        <w:spacing w:after="40"/>
      </w:pPr>
      <w:r>
        <w:t>Καταχωρείτε τα στοιχεία ταυτοποίησης του ασθενούς.</w:t>
      </w:r>
    </w:p>
    <w:p>
      <w:pPr>
        <w:pStyle w:val="ListNumber"/>
        <w:spacing w:after="40"/>
      </w:pPr>
      <w:r>
        <w:t>Συμπληρώνετε τα προσωπικά στοιχεία και τα στοιχεία του περιστατικού.</w:t>
      </w:r>
    </w:p>
    <w:p>
      <w:pPr>
        <w:pStyle w:val="ListNumber"/>
        <w:spacing w:after="40"/>
      </w:pPr>
      <w:r>
        <w:t>Επιλέγετε την οικονομική κατηγορία.</w:t>
      </w:r>
    </w:p>
    <w:p>
      <w:pPr>
        <w:pStyle w:val="ListNumber"/>
        <w:spacing w:after="40"/>
      </w:pPr>
      <w:r>
        <w:t>Επιλέγετε τις υπηρεσίες που σημείωσε ο ιατρός στο έντυπο.</w:t>
      </w:r>
    </w:p>
    <w:p>
      <w:pPr>
        <w:pStyle w:val="ListNumber"/>
        <w:spacing w:after="40"/>
      </w:pPr>
      <w:r>
        <w:t>Πατάτε «Υπολογισμός».</w:t>
      </w:r>
    </w:p>
    <w:p>
      <w:pPr>
        <w:pStyle w:val="ListNumber"/>
        <w:spacing w:after="40"/>
      </w:pPr>
      <w:r>
        <w:t>Πατάτε «Οριστικοποίηση» και εκτυπώνετε.</w:t>
      </w:r>
    </w:p>
    <w:p>
      <w:pPr>
        <w:jc w:val="both"/>
      </w:pPr>
      <w:r>
        <w:t>Ο στόχος είναι κάτω από 90 δευτερόλεπτα για ένα συνηθισμένο περιστατικό. Η αναζήτηση υπηρεσιών δουλεύει με το πληκτρολόγιο: γράφετε, πατάτε Enter, γράφετε την επόμενη.</w:t>
      </w:r>
    </w:p>
    <w:p>
      <w:r>
        <w:rPr>
          <w:b/>
          <w:color w:val="1F3864"/>
          <w:sz w:val="24"/>
        </w:rPr>
        <w:t>1. Ταυτοποίηση — πρώτα αυτή</w:t>
      </w:r>
    </w:p>
    <w:p>
      <w:pPr>
        <w:jc w:val="both"/>
      </w:pPr>
      <w:r>
        <w:t>Ο αριθμός ταυτοποίησης μπαίνει πρώτος, επειδή με βάση αυτόν το σύστημα ψάχνει προηγούμενες καταχωρήσεις. Αν δεν βρεθεί τίποτα, δεν αλλάζει τίποτα στην οθόνη — αυτή είναι η συνηθισμένη περίπτωση.</w:t>
      </w:r>
    </w:p>
    <w:p>
      <w:pPr>
        <w:pStyle w:val="ListBullet"/>
        <w:spacing w:after="40"/>
      </w:pPr>
      <w:r>
        <w:t>Αν βρεθούν προηγούμενες καταχωρήσεις, εμφανίζεται κουμπί «Συμπλήρωση στοιχείων». Συμπληρώνει μόνο αν το πατήσετε.</w:t>
      </w:r>
    </w:p>
    <w:p>
      <w:pPr>
        <w:pStyle w:val="ListBullet"/>
      </w:pPr>
      <w:r>
        <w:rPr>
          <w:color w:val="A31E1E"/>
        </w:rPr>
        <w:t xml:space="preserve">Αν υπάρχει προηγούμενη κοστολόγηση «Επί Πληρωμή» χωρίς καταγεγραμμένη εξόφληση, εμφανίζεται κόκκινη ειδοποίηση. </w:t>
      </w:r>
      <w:r>
        <w:t>Δεν σας εμποδίζει να συνεχίσετε. Είναι η μόνη στιγμή που ο Οργανισμός μπορεί να ζητήσει αυτά τα χρήματα.</w:t>
      </w:r>
    </w:p>
    <w:p>
      <w:pPr>
        <w:jc w:val="both"/>
      </w:pPr>
      <w:r>
        <w:t>Ληγμένο έγγραφο ταυτοποίησης δίνει προειδοποίηση, όχι σφάλμα. Σε αυτόν τον πληθυσμό είναι συχνό και δεν εμποδίζει την καταχώρηση.</w:t>
      </w:r>
    </w:p>
    <w:p>
      <w:r>
        <w:rPr>
          <w:b/>
          <w:color w:val="1F3864"/>
          <w:sz w:val="24"/>
        </w:rPr>
        <w:t>2. Οικονομική κατηγορία — εδώ κρίνεται η τιμή</w:t>
      </w:r>
    </w:p>
    <w:p>
      <w:pPr>
        <w:jc w:val="both"/>
      </w:pPr>
      <w:r>
        <w:t>Ο κατάλογος προσφέρει 23 κατηγορίες, όχι 38. Οι υπόλοιπες δεν μπορούν να προκύψουν από περιστατικό ΤΑΕΠ (οδοντιατρικές υπηρεσίες, δωρεά οργάνων, προγράμματα ανίχνευσης) και γι' αυτό δεν εμφανίζονται καθόλου.</w:t>
      </w:r>
    </w:p>
    <w:p>
      <w:pPr>
        <w:jc w:val="both"/>
      </w:pPr>
      <w:r>
        <w:t>Γράφετε είτε τον κωδικό είτε το όνομα: και το «624» και το «ασυλ» βρίσκουν την ίδια κατηγορία. Λάθος κατηγορία σημαίνει λάθος τιμή σε όλο το περιστατικό, οπότε αξίζει ο δεύτερος έλεγχος.</w:t>
      </w:r>
    </w:p>
    <w:p>
      <w:pPr>
        <w:jc w:val="both"/>
      </w:pPr>
      <w:r>
        <w:t>Τρεις κατηγορίες επιτρέπουν πρόσθετες χρεώσεις τιμοκαταλόγου: 600 ΕΠΙ ΠΛΗΡΩΜΗ, 602 ΕΥΡΩΚΑΡΤΑ, 640 ΒΡΕΤΑΝΙΚΕΣ ΒΑΣΕΙΣ. Στις υπόλοιπες οι χρεώσεις αυτές δεν ισχύουν και το σύστημα τις απορρίπτει.</w:t>
      </w:r>
    </w:p>
    <w:p>
      <w:pPr>
        <w:jc w:val="both"/>
      </w:pPr>
      <w:r>
        <w:t>Τέλος εγγραφής χρεώνεται μόνο στις κατηγορίες 603, 605, 608 (€10,00). Η κατηγορία 600 «Επί Πληρωμή» δίνει προκαταβολή €100,00 που ΔΕΝ προστίθεται στο κόστος.</w:t>
      </w:r>
    </w:p>
    <w:p>
      <w:r>
        <w:rPr>
          <w:b/>
          <w:color w:val="1F3864"/>
          <w:sz w:val="24"/>
        </w:rPr>
        <w:t>3. Μονάδα ΤΑΕΠ</w:t>
      </w:r>
    </w:p>
    <w:p>
      <w:pPr>
        <w:jc w:val="both"/>
      </w:pPr>
      <w:r>
        <w:t>Το Γενικό Νοσοκομείο Λευκωσίας λειτουργεί δύο μονάδες, ενηλίκων και παίδων, με χωριστή αρίθμηση κοστολογήσεων. Επιλέγετε τη σωστή. Αν επιλεγεί λάθος, η διόρθωση γίνεται μόνο με ακύρωση και νέα καταχώρηση, γιατί ο αριθμός κοστολόγησης έχει ήδη αποδοθεί.</w:t>
      </w:r>
    </w:p>
    <w:p>
      <w:r>
        <w:rPr>
          <w:b/>
          <w:color w:val="1F3864"/>
          <w:sz w:val="24"/>
        </w:rPr>
        <w:t>4. Επιλογή υπηρεσιών</w:t>
      </w:r>
    </w:p>
    <w:p>
      <w:pPr>
        <w:jc w:val="both"/>
      </w:pPr>
      <w:r>
        <w:t>Η αναζήτηση καλύπτει και τις 125 υπηρεσίες μαζί, θεραπείες και διαγνωστικές παρεμβάσεις, επειδή διαβάζετε το έντυπο με τη σειρά που το συμπλήρωσε ο ιατρός και όχι με τη σειρά του συστήματος.</w:t>
      </w:r>
    </w:p>
    <w:p>
      <w:pPr>
        <w:pStyle w:val="ListBullet"/>
        <w:spacing w:after="40"/>
      </w:pPr>
      <w:r>
        <w:t>Δεν έχει σημασία αν γράφετε με τόνους, χωρίς τόνους, κεφαλαία ή πεζά: «ΕΓΧΥΣΗ ΥΓΡΩΝ», «εγχυση υγρων» και «Έγχυση υγρών» βρίσκουν το ίδιο.</w:t>
      </w:r>
    </w:p>
    <w:p>
      <w:pPr>
        <w:pStyle w:val="ListBullet"/>
        <w:spacing w:after="40"/>
      </w:pPr>
      <w:r>
        <w:t>Μπορείτε να γράψετε και τον κωδικό απευθείας, π.χ. AET043.</w:t>
      </w:r>
    </w:p>
    <w:p>
      <w:pPr>
        <w:pStyle w:val="ListBullet"/>
        <w:spacing w:after="40"/>
      </w:pPr>
      <w:r>
        <w:t>Η κατηγορία κάθε υπηρεσίας φαίνεται δίπλα της. Η υψηλότερη κατηγορία κάθε πλευράς καθορίζει την τιμή — όχι το πλήθος των υπηρεσιών.</w:t>
      </w:r>
    </w:p>
    <w:p>
      <w:pPr>
        <w:jc w:val="both"/>
      </w:pPr>
      <w:r>
        <w:t>Αν επιλέξετε υπηρεσίες, χρειάζονται και οι δύο πλευρές: τουλάχιστον μία διαγνωστική παρέμβαση και τουλάχιστον μία θεραπεία. Υπάρχουν οι κωδικοί «Καμία» (AED004, AET021) ακριβώς για να καταγραφεί ότι δεν έγινε κάτι στη μία πλευρά.</w:t>
      </w:r>
    </w:p>
    <w:p>
      <w:pPr>
        <w:jc w:val="both"/>
      </w:pPr>
      <w:r>
        <w:t>Αν δεν επιλέξετε καμία υπηρεσία, το περιστατικό χρεώνεται ως Διαλογή, €10,00. Αυτό το λέει η οθόνη πριν υπολογίσετε.</w:t>
      </w:r>
    </w:p>
    <w:p>
      <w:r>
        <w:rPr>
          <w:b/>
          <w:color w:val="1F3864"/>
          <w:sz w:val="24"/>
        </w:rPr>
        <w:t>5. Υπολογισμός</w:t>
      </w:r>
    </w:p>
    <w:p>
      <w:pPr>
        <w:jc w:val="both"/>
      </w:pPr>
      <w:r>
        <w:t>Ο υπολογισμός γίνεται μόνο όταν τον ζητήσετε. Το σύστημα δεν επανυπολογίζει μόνο του σε κάθε επιλογή, ώστε το ποσό να αλλάζει επειδή το ζητήσατε.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Βαρύτητα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Κατηγοριοποίηση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Ποσό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Συνδυασμός διάγνωσης και θεραπείας χαμηλού κόστους</w:t>
            </w:r>
          </w:p>
        </w:tc>
        <w:tc>
          <w:tcPr>
            <w:tcW w:type="dxa" w:w="3249"/>
          </w:tcPr>
          <w:p>
            <w:r>
              <w:t>€60,00</w:t>
            </w:r>
          </w:p>
        </w:tc>
      </w:tr>
      <w:tr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Συνδυασμός διάγνωσης και θεραπείας μέσου κόστους</w:t>
            </w:r>
          </w:p>
        </w:tc>
        <w:tc>
          <w:tcPr>
            <w:tcW w:type="dxa" w:w="3249"/>
          </w:tcPr>
          <w:p>
            <w:r>
              <w:t>€120,00</w:t>
            </w:r>
          </w:p>
        </w:tc>
      </w:tr>
      <w:tr>
        <w:tc>
          <w:tcPr>
            <w:tcW w:type="dxa" w:w="3249"/>
          </w:tcPr>
          <w:p>
            <w:r>
              <w:t>12</w:t>
            </w:r>
          </w:p>
        </w:tc>
        <w:tc>
          <w:tcPr>
            <w:tcW w:type="dxa" w:w="3249"/>
          </w:tcPr>
          <w:p>
            <w:r>
              <w:t>Συνδυασμός διάγνωσης και θεραπείας υψηλού κόστους</w:t>
            </w:r>
          </w:p>
        </w:tc>
        <w:tc>
          <w:tcPr>
            <w:tcW w:type="dxa" w:w="3249"/>
          </w:tcPr>
          <w:p>
            <w:r>
              <w:t>€180,00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Διαλογή</w:t>
            </w:r>
          </w:p>
        </w:tc>
        <w:tc>
          <w:tcPr>
            <w:tcW w:type="dxa" w:w="3249"/>
          </w:tcPr>
          <w:p>
            <w:r>
              <w:t>€10,00</w:t>
            </w:r>
          </w:p>
        </w:tc>
      </w:tr>
    </w:tbl>
    <w:p/>
    <w:p>
      <w:r>
        <w:rPr>
          <w:b/>
        </w:rPr>
        <w:t xml:space="preserve">Αν αλλάξετε υπηρεσία μετά τον υπολογισμό, το αποτέλεσμα σβήνει και πρέπει να υπολογίσετε ξανά. </w:t>
      </w:r>
      <w:r>
        <w:t>Αυτό δεν είναι βλάβη. Προστατεύει από το να εκτυπωθεί ποσό που δεν αντιστοιχεί στις υπηρεσίες που φαίνονται στην οθόνη.</w:t>
      </w:r>
    </w:p>
    <w:p>
      <w:r>
        <w:rPr>
          <w:b/>
          <w:color w:val="1F3864"/>
          <w:sz w:val="24"/>
        </w:rPr>
        <w:t>6. Οριστικοποίηση και εκτύπωση</w:t>
      </w:r>
    </w:p>
    <w:p>
      <w:pPr>
        <w:jc w:val="both"/>
      </w:pPr>
      <w:r>
        <w:t>Η οριστικοποίηση αποδίδει τον αριθμό κοστολόγησης και κλειδώνει την καταχώρηση. Μετά από αυτό δεν τροποποιείται τίποτα: η διόρθωση γίνεται με ακύρωση και νέα καταχώρηση, και η ακύρωση ζητά αιτιολογία.</w:t>
      </w:r>
    </w:p>
    <w:p>
      <w:pPr>
        <w:jc w:val="both"/>
      </w:pPr>
      <w:r>
        <w:t>Ο αριθμός έχει τη μορφή OKY&lt;κωδικός μονάδας&gt;/&lt;αύξων αριθμός&gt;, π.χ. OKY1054/0035. Κάθε μονάδα έχει δική της συνεχή σειρά. Ακυρωμένη κοστολόγηση κρατά τον αριθμό της και αυτός δεν δίνεται ποτέ σε άλλη.</w:t>
      </w:r>
    </w:p>
    <w:p>
      <w:r>
        <w:rPr>
          <w:b/>
          <w:color w:val="1F3864"/>
          <w:sz w:val="24"/>
        </w:rPr>
        <w:t>7. Να βρείτε μια κοστολόγηση από το έντυπο</w:t>
      </w:r>
    </w:p>
    <w:p>
      <w:pPr>
        <w:jc w:val="both"/>
      </w:pPr>
      <w:r>
        <w:t>Πάνω δεξιά στο τυπωμένο έντυπο υπάρχει τετράγωνος κωδικός, και κάτω από αυτόν ο ίδιος αριθμός γραμμένος κανονικά. Στη σελίδα «Καταχωρήσεις», το πρώτο πλαίσιο δέχεται αυτόν τον αριθμό και ανοίγει κατευθείαν την κοστολόγηση. Δεν χρειάζεται να ψάξετε με επώνυμο.</w:t>
      </w:r>
    </w:p>
    <w:p>
      <w:pPr>
        <w:pStyle w:val="ListBullet"/>
        <w:spacing w:after="40"/>
      </w:pPr>
      <w:r>
        <w:t>Με χειριστήριο σάρωσης: ο κωδικός διαβάζεται και υποβάλλεται μόνος του. Το πλαίσιο είναι ήδη επιλεγμένο όταν ανοίγει η σελίδα.</w:t>
      </w:r>
    </w:p>
    <w:p>
      <w:pPr>
        <w:pStyle w:val="ListBullet"/>
        <w:spacing w:after="40"/>
      </w:pPr>
      <w:r>
        <w:t>Με το χέρι: γράψτε τον αριθμό όπως τον βλέπετε. Δεκτά και «1054/35» και «OKY1054-0035» — δεν έχει σημασία αν παραλείψετε το OKY, τα μηδενικά ή βάλετε παύλα.</w:t>
      </w:r>
    </w:p>
    <w:p>
      <w:pPr>
        <w:pStyle w:val="ListBullet"/>
        <w:spacing w:after="40"/>
      </w:pPr>
      <w:r>
        <w:t>Αν ο αριθμός ανήκει σε άλλο νοσηλευτήριο, το μήνυμα λέει «δεν βρέθηκε». Αυτό είναι σωστό: βλέπετε μόνο τις κοστολογήσεις του δικού σας νοσηλευτηρίου.</w:t>
      </w:r>
    </w:p>
    <w:p>
      <w:pPr>
        <w:jc w:val="both"/>
      </w:pPr>
      <w:r>
        <w:t>Ο τετράγωνος κωδικός δεν κάνει τίποτα άλλο. Δεν στέλνει δεδομένα πουθενά και δεν συνδέεται με άλλο σύστημα· περιέχει μόνο τον αριθμό, ώστε να μην τον ξαναγράφει κανείς.</w:t>
      </w:r>
    </w:p>
    <w:p>
      <w:r>
        <w:rPr>
          <w:b/>
          <w:color w:val="1F3864"/>
          <w:sz w:val="24"/>
        </w:rPr>
        <w:t>Τι σημαίνουν τα μηνύματα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/>
            <w:r>
              <w:rPr>
                <w:b/>
              </w:rPr>
              <w:t>Μήνυμα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Τι κάνετε</w:t>
            </w:r>
          </w:p>
        </w:tc>
      </w:tr>
      <w:tr>
        <w:tc>
          <w:tcPr>
            <w:tcW w:type="dxa" w:w="3685"/>
          </w:tcPr>
          <w:p>
            <w:r>
              <w:t>«Δεν έχει επιλεγεί καμία θεραπεία»</w:t>
            </w:r>
          </w:p>
        </w:tc>
        <w:tc>
          <w:tcPr>
            <w:tcW w:type="dxa" w:w="5669"/>
          </w:tcPr>
          <w:p>
            <w:r>
              <w:t>Επιλέξατε μόνο διαγνωστικές παρεμβάσεις. Χρειάζονται και οι δύο πλευρές.</w:t>
            </w:r>
          </w:p>
        </w:tc>
      </w:tr>
      <w:tr>
        <w:tc>
          <w:tcPr>
            <w:tcW w:type="dxa" w:w="3685"/>
          </w:tcPr>
          <w:p>
            <w:r>
              <w:t>«Οι υπηρεσίες άλλαξαν»</w:t>
            </w:r>
          </w:p>
        </w:tc>
        <w:tc>
          <w:tcPr>
            <w:tcW w:type="dxa" w:w="5669"/>
          </w:tcPr>
          <w:p>
            <w:r>
              <w:t>Αλλάξατε κάτι μετά τον υπολογισμό. Πατήστε «Υπολογισμός» ξανά.</w:t>
            </w:r>
          </w:p>
        </w:tc>
      </w:tr>
      <w:tr>
        <w:tc>
          <w:tcPr>
            <w:tcW w:type="dxa" w:w="3685"/>
          </w:tcPr>
          <w:p>
            <w:r>
              <w:t>«Δεν έχει καθοριστεί το ποσό…»</w:t>
            </w:r>
          </w:p>
        </w:tc>
        <w:tc>
          <w:tcPr>
            <w:tcW w:type="dxa" w:w="5669"/>
          </w:tcPr>
          <w:p>
            <w:r>
              <w:t>Λείπει τιμή για αυτή την κατηγορία ή βαρύτητα. Δεν είναι δικό σας λάθος — ενημερώστε τη Μονάδα Ελέγχου Εσόδων. Το σύστημα αρνείται να υποθέσει τιμή.</w:t>
            </w:r>
          </w:p>
        </w:tc>
      </w:tr>
      <w:tr>
        <w:tc>
          <w:tcPr>
            <w:tcW w:type="dxa" w:w="3685"/>
          </w:tcPr>
          <w:p>
            <w:r>
              <w:t>«Οι πρόσθετες χρεώσεις δεν ισχύουν για την οικονομική κατηγορία…»</w:t>
            </w:r>
          </w:p>
        </w:tc>
        <w:tc>
          <w:tcPr>
            <w:tcW w:type="dxa" w:w="5669"/>
          </w:tcPr>
          <w:p>
            <w:r>
              <w:t>Οι χρεώσεις τιμοκαταλόγου ισχύουν μόνο στις τρεις κατηγορίες που πληρώνει ο ίδιος ο ασθενής.</w:t>
            </w:r>
          </w:p>
        </w:tc>
      </w:tr>
      <w:tr>
        <w:tc>
          <w:tcPr>
            <w:tcW w:type="dxa" w:w="3685"/>
          </w:tcPr>
          <w:p>
            <w:r>
              <w:t>«Η καταχώρηση έχει ήδη οριστικοποιηθεί»</w:t>
            </w:r>
          </w:p>
        </w:tc>
        <w:tc>
          <w:tcPr>
            <w:tcW w:type="dxa" w:w="5669"/>
          </w:tcPr>
          <w:p>
            <w:r>
              <w:t>Η κοστολόγηση έχει κλειδώσει. Για διόρθωση απαιτείται ακύρωση από διαχειριστή.</w:t>
            </w:r>
          </w:p>
        </w:tc>
      </w:tr>
      <w:tr>
        <w:tc>
          <w:tcPr>
            <w:tcW w:type="dxa" w:w="3685"/>
          </w:tcPr>
          <w:p>
            <w:r>
              <w:t>«Η ώρα εξέτασης δεν μπορεί να προηγείται της ώρας εισαγωγής»</w:t>
            </w:r>
          </w:p>
        </w:tc>
        <w:tc>
          <w:tcPr>
            <w:tcW w:type="dxa" w:w="5669"/>
          </w:tcPr>
          <w:p>
            <w:r>
              <w:t>Ελέγξτε τις ώρες στο έντυπο. Η σειρά είναι εισαγωγή, εξέταση, εξιτήριο.</w:t>
            </w:r>
          </w:p>
        </w:tc>
      </w:tr>
    </w:tbl>
    <w:p>
      <w:r>
        <w:br w:type="page"/>
      </w:r>
    </w:p>
    <w:p>
      <w:r>
        <w:rPr>
          <w:b/>
          <w:color w:val="1F3864"/>
          <w:sz w:val="24"/>
        </w:rPr>
        <w:t>Τα δύο λάθη που κοστίζουν</w:t>
      </w:r>
    </w:p>
    <w:p>
      <w:pPr>
        <w:jc w:val="both"/>
      </w:pPr>
      <w:r>
        <w:rPr>
          <w:b/>
        </w:rPr>
        <w:t xml:space="preserve">1. </w:t>
      </w:r>
      <w:r>
        <w:t>Λάθος οικονομική κατηγορία. Τιμολογεί λάθος όλο το περιστατικό και διορθώνεται μόνο με ακύρωση. Ελέγξτε την πριν τον υπολογισμό.</w:t>
      </w:r>
    </w:p>
    <w:p>
      <w:pPr>
        <w:jc w:val="both"/>
      </w:pPr>
      <w:r>
        <w:rPr>
          <w:b/>
        </w:rPr>
        <w:t xml:space="preserve">2. </w:t>
      </w:r>
      <w:r>
        <w:t>Λάθος μονάδα ΤΑΕΠ στη Λευκωσία. Ο αριθμός κοστολόγησης βγαίνει από λάθος σειρά και δεν διορθώνεται εκ των υστέρων.</w:t>
      </w:r>
    </w:p>
    <w:p>
      <w:r>
        <w:rPr>
          <w:b/>
          <w:color w:val="1F3864"/>
          <w:sz w:val="24"/>
        </w:rPr>
        <w:t>Πού να απευθυνθείτε</w:t>
      </w:r>
    </w:p>
    <w:p>
      <w:pPr>
        <w:pStyle w:val="ListBullet"/>
        <w:spacing w:after="40"/>
      </w:pPr>
      <w:r>
        <w:t>Λείπει τιμή ή τέλος εγγραφής → Μονάδα Ελέγχου Εσόδων.</w:t>
      </w:r>
    </w:p>
    <w:p>
      <w:pPr>
        <w:pStyle w:val="ListBullet"/>
        <w:spacing w:after="40"/>
      </w:pPr>
      <w:r>
        <w:t>Λάθος ή διπλή υπηρεσία στον κατάλογο → Μονάδα Ελέγχου Εσόδων.</w:t>
      </w:r>
    </w:p>
    <w:p>
      <w:pPr>
        <w:pStyle w:val="ListBullet"/>
        <w:spacing w:after="40"/>
      </w:pPr>
      <w:r>
        <w:t>Η οθόνη δεν φορτώνει, δεν εκτυπώνεται, σφάλμα συστήματος → Τμήμα Πληροφορικής.</w:t>
      </w:r>
    </w:p>
    <w:p>
      <w:pPr>
        <w:pStyle w:val="ListBullet"/>
        <w:spacing w:after="40"/>
      </w:pPr>
      <w:r>
        <w:t>Ακύρωση οριστικοποιημένης κοστολόγησης → ο διαχειριστής του νοσηλευτηρίου.</w:t>
      </w:r>
    </w:p>
    <w:p/>
    <w:p>
      <w:pPr>
        <w:jc w:val="both"/>
      </w:pPr>
      <w:r>
        <w:rPr>
          <w:i/>
        </w:rPr>
        <w:t>Κατά τις πρώτες δύο εβδομάδες κάθε περιστατικό κοστολογείται και με το χέρι, όπως γινόταν μέχρι τώρα, και οι δύο τιμές συγκρίνονται. Κάθε διαφορά εξετάζεται. Αν δείτε διαφορά, αναφέρετέ τη — το εργαλείο δεν θεωρείται σωστό εξ ορισμού.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