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Κοστολόγηση Περιστατικών ΤΑ.ΕΠ. — μη δικαιούχοι ΓεΣΥ</w:t>
      </w:r>
    </w:p>
    <w:p>
      <w:r>
        <w:rPr>
          <w:b/>
          <w:color w:val="1F3864"/>
          <w:sz w:val="24"/>
        </w:rPr>
        <w:t>Εκκρεμότητες μετά τις αποφάσεις της 23/09/2026</w:t>
      </w:r>
    </w:p>
    <w:p>
      <w:r>
        <w:rPr>
          <w:b/>
        </w:rPr>
        <w:t xml:space="preserve">Προς: </w:t>
      </w:r>
      <w:r>
        <w:t>Μονάδα Ελέγχου Εσόδων</w:t>
        <w:br/>
      </w:r>
      <w:r>
        <w:rPr>
          <w:b/>
        </w:rPr>
        <w:t xml:space="preserve">Από: </w:t>
      </w:r>
      <w:r>
        <w:t>Τμήμα Πληροφορικής</w:t>
        <w:br/>
      </w:r>
      <w:r>
        <w:rPr>
          <w:b/>
        </w:rPr>
        <w:t xml:space="preserve">Ημερομηνία: </w:t>
      </w:r>
      <w:r>
        <w:t>23/09/2026</w:t>
      </w:r>
    </w:p>
    <w:p>
      <w:pPr>
        <w:jc w:val="both"/>
      </w:pPr>
      <w:r>
        <w:t>Ευχαριστούμε. Εφαρμόστηκαν και οι πέντε απαντήσεις. Απομένουν τρία σημεία· το πρώτο είναι διαφωνία ανάμεσα στον πίνακα που στείλατε και στη γραπτή σας επιβεβαίωση της ίδιας ημέρας.</w:t>
      </w:r>
    </w:p>
    <w:p>
      <w:r>
        <w:rPr>
          <w:b/>
          <w:color w:val="1F3864"/>
        </w:rPr>
        <w:t>Τι άλλαξε με βάση τις αποφάσεις σας</w:t>
      </w:r>
    </w:p>
    <w:p>
      <w:pPr>
        <w:pStyle w:val="ListBullet"/>
        <w:spacing w:after="60"/>
        <w:jc w:val="both"/>
      </w:pPr>
      <w:r>
        <w:t>Η διαλογή ορίστηκε στα €10,00, ως δικό της ποσό και όχι ως μέρος της κλίμακας 60 – 120 – 180.</w:t>
      </w:r>
    </w:p>
    <w:p>
      <w:pPr>
        <w:pStyle w:val="ListBullet"/>
        <w:spacing w:after="60"/>
        <w:jc w:val="both"/>
      </w:pPr>
      <w:r>
        <w:t>Ο αριθμός κοστολόγησης συντίθεται πλέον όπως τον επιβεβαιώσατε και αναπαράγει ακριβώς το υπόδειγμα: OKY1054/0035.</w:t>
      </w:r>
    </w:p>
    <w:p>
      <w:pPr>
        <w:pStyle w:val="ListBullet"/>
        <w:spacing w:after="60"/>
        <w:jc w:val="both"/>
      </w:pPr>
      <w:r>
        <w:t>Η προκαταβολή των €100,00 καταγράφεται ξεχωριστά και δεν προστίθεται στο κόστος, όπως επιβεβαιώσατε.</w:t>
      </w:r>
    </w:p>
    <w:p>
      <w:pPr>
        <w:pStyle w:val="ListBullet"/>
        <w:spacing w:after="60"/>
        <w:jc w:val="both"/>
      </w:pPr>
      <w:r>
        <w:t>Ο SHSO-ER16 χωρίστηκε στις τρεις κλίμακες που δώσατε: €50,00 θεραπευτικό πλύσιμο οργάνου, €120,00 πλύση οφθαλμού τριών ωρών, €200,00 παρουσία οφθαλμιάτρου. Ο SHSO-ER2 χωρίστηκε ομοίως.</w:t>
      </w:r>
    </w:p>
    <w:p>
      <w:pPr>
        <w:pStyle w:val="ListBullet"/>
        <w:spacing w:after="60"/>
        <w:jc w:val="both"/>
      </w:pPr>
      <w:r>
        <w:t>Και οι 48 γραμμές του τιμοκαταλόγου έχουν πλέον δομημένη τιμή. Οι εννέα γραμμές ελεύθερου κειμένου που είχαμε επισημάνει έκλεισαν.</w:t>
      </w:r>
    </w:p>
    <w:p/>
    <w:p>
      <w:r>
        <w:rPr>
          <w:b/>
          <w:color w:val="1F3864"/>
          <w:sz w:val="24"/>
        </w:rPr>
        <w:t>Εκκρεμή</w:t>
      </w:r>
    </w:p>
    <w:p>
      <w:r>
        <w:rPr>
          <w:b/>
          <w:color w:val="A31E1E"/>
          <w:sz w:val="22"/>
        </w:rPr>
        <w:t>1. Τα τέλη εγγραφής του πίνακά σας διαφωνούν με τη γραπτή σας επιβεβαίωση</w:t>
      </w:r>
    </w:p>
    <w:p>
      <w:pPr>
        <w:spacing w:after="80"/>
        <w:jc w:val="both"/>
      </w:pPr>
      <w:r>
        <w:t>Ο πίνακας που στείλατε στις 23/09 δίνει τέλος εγγραφής ΤΑΕΠ €10,00 για τις κατηγορίες 603, 605 και 608. Την ίδια ημέρα επιβεβαιώσατε γραπτώς ότι οι κατηγορίες αυτές μηδενίζονται.</w:t>
      </w:r>
    </w:p>
    <w:p>
      <w:pPr>
        <w:spacing w:after="80"/>
        <w:jc w:val="both"/>
      </w:pPr>
      <w:r>
        <w:t>Εφαρμόσαμε τη γραπτή απάντηση, δηλαδή €0,00, επειδή απαντούσε ακριβώς σε αυτό το ερώτημα. Κρατήσαμε δίπλα και την τιμή του πίνακα, ώστε η διαφωνία να φαίνεται και να διορθώνεται με μία γραμμή.</w:t>
      </w:r>
    </w:p>
    <w:p>
      <w:pPr>
        <w:spacing w:after="80"/>
        <w:jc w:val="both"/>
      </w:pPr>
      <w:r>
        <w:t>Το ποσό είναι μικρό. Η διαφωνία όμως είναι ανάμεσα σε δύο δηλώσεις της ίδιας ημέρας, και μια σιωπηλή επιλογή γίνεται μόνιμο λάθος.</w:t>
      </w:r>
    </w:p>
    <w:p>
      <w:r>
        <w:rPr>
          <w:b/>
          <w:color w:val="1F3864"/>
        </w:rPr>
        <w:t xml:space="preserve">Ζητούμενο: </w:t>
      </w:r>
      <w:r>
        <w:t>Ποιο ισχύει για τις 603, 605 και 608 στα ΤΑ.ΕΠ.: €10,00 ή €0,00;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2. Ο πίνακας με την αρμόδια αρχή δεν έχει ακόμη παραληφθεί</w:t>
      </w:r>
    </w:p>
    <w:p>
      <w:pPr>
        <w:spacing w:after="80"/>
        <w:jc w:val="both"/>
      </w:pPr>
      <w:r>
        <w:t>Στο προηγούμενο σημείωμα ζητήσαμε τον πίνακα με την αρμόδια αρχή ανά οικονομική κατηγορία και απαντήσατε «το στέλνω τώρα».</w:t>
      </w:r>
    </w:p>
    <w:p>
      <w:pPr>
        <w:spacing w:after="80"/>
        <w:jc w:val="both"/>
      </w:pPr>
      <w:r>
        <w:t>Το αρχείο που λάβαμε είναι ο πίνακας τελών εγγραφής. Οι στήλες του είναι ΤΑΕΠ, Εξωνοσοκομειακή, Ενδονοσοκομειακή, Φάρμακα, Εργαστηριακά και μία κενή στήλη Σχόλια. Στήλη με την αρμόδια αρχή δεν υπάρχει.</w:t>
      </w:r>
    </w:p>
    <w:p>
      <w:pPr>
        <w:spacing w:after="80"/>
        <w:jc w:val="both"/>
      </w:pPr>
      <w:r>
        <w:t>Δεν εμποδίζει την πρώτη φάση, που απλώς τυπώνει τον υπόχρεο. Εμποδίζει τη δεύτερη, που τον τιμολογεί.</w:t>
      </w:r>
    </w:p>
    <w:p>
      <w:r>
        <w:rPr>
          <w:b/>
          <w:color w:val="1F3864"/>
        </w:rPr>
        <w:t xml:space="preserve">Ζητούμενο: </w:t>
      </w:r>
      <w:r>
        <w:t>Αποστολή του πίνακα με την αρμόδια αρχή ανά οικονομική κατηγορία.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3. Οι κωδικοί των εννέα νοσηλευτηρίων</w:t>
      </w:r>
    </w:p>
    <w:p>
      <w:pPr>
        <w:spacing w:after="80"/>
        <w:jc w:val="both"/>
      </w:pPr>
      <w:r>
        <w:t>Η σύνθεση του αριθμού κοστολόγησης κλείδωσε και αναπαράγει το υπόδειγμα: OKY1054/0035, δηλαδή κωδικός νοσηλευτηρίου και αύξων αριθμός ανά νοσηλευτήριο.</w:t>
      </w:r>
    </w:p>
    <w:p>
      <w:pPr>
        <w:spacing w:after="80"/>
        <w:jc w:val="both"/>
      </w:pPr>
      <w:r>
        <w:t>Το 1054 είναι ο μόνος κωδικός που έχουμε δει. Χωρίς τους υπόλοιπους οκτώ, μόνο ένα νοσηλευτήριο μπορεί να εκδώσει αριθμό.</w:t>
      </w:r>
    </w:p>
    <w:p>
      <w:r>
        <w:rPr>
          <w:b/>
          <w:color w:val="1F3864"/>
        </w:rPr>
        <w:t xml:space="preserve">Ζητούμενο: </w:t>
      </w:r>
      <w:r>
        <w:t>Ο κωδικός καθενός από τα εννέα νοσηλευτήρια.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