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Κοστολόγηση Περιστατικών ΤΑ.ΕΠ. — μη δικαιούχοι ΓεΣΥ</w:t>
      </w:r>
    </w:p>
    <w:p>
      <w:r>
        <w:rPr>
          <w:b/>
          <w:color w:val="1F3864"/>
          <w:sz w:val="24"/>
        </w:rPr>
        <w:t>Εκκρεμή θέματα προς απόφαση</w:t>
      </w:r>
    </w:p>
    <w:p>
      <w:r>
        <w:rPr>
          <w:b/>
        </w:rPr>
        <w:t xml:space="preserve">Προς: </w:t>
      </w:r>
      <w:r>
        <w:t>Μονάδα Ελέγχου Εσόδων</w:t>
        <w:br/>
      </w:r>
      <w:r>
        <w:rPr>
          <w:b/>
        </w:rPr>
        <w:t xml:space="preserve">Από: </w:t>
      </w:r>
      <w:r>
        <w:t>Τμήμα Πληροφορικής</w:t>
        <w:br/>
      </w:r>
      <w:r>
        <w:rPr>
          <w:b/>
        </w:rPr>
        <w:t xml:space="preserve">Ημερομηνία: </w:t>
      </w:r>
      <w:r>
        <w:t>14/09/2026</w:t>
        <w:br/>
      </w:r>
      <w:r>
        <w:rPr>
          <w:b/>
        </w:rPr>
        <w:t xml:space="preserve">Συνημμένο: </w:t>
      </w:r>
      <w:r>
        <w:t>overlap_decision_list.xlsx</w:t>
      </w:r>
    </w:p>
    <w:p>
      <w:pPr>
        <w:jc w:val="both"/>
      </w:pPr>
      <w:r>
        <w:t>Κατά την προετοιμασία του εργαλείου κοστολόγησης εντοπίστηκαν 14 θέματα που χρειάζονται απόφαση της Μονάδας. Κανένα δεν μπορεί να κριθεί από το Τμήμα Πληροφορικής. Τα ευρήματα προκύπτουν από τα αρχεία που μας δόθηκαν και αναπαράγονται αυτόματα από τα ίδια δεδομένα.</w:t>
      </w:r>
    </w:p>
    <w:p/>
    <w:p>
      <w:r>
        <w:rPr>
          <w:b/>
          <w:color w:val="1F3864"/>
          <w:sz w:val="24"/>
        </w:rPr>
        <w:t>ΜΕΡΟΣ Α — Εμποδίζουν την έναρξη της ανάπτυξης</w:t>
      </w:r>
    </w:p>
    <w:p>
      <w:r>
        <w:rPr>
          <w:i/>
          <w:sz w:val="19"/>
        </w:rPr>
        <w:t>Χωρίς απόφαση στα δύο αυτά θέματα δεν προχωρά η επόμενη φάση.</w:t>
      </w:r>
    </w:p>
    <w:p>
      <w:r>
        <w:rPr>
          <w:b/>
          <w:sz w:val="22"/>
        </w:rPr>
        <w:t>1. Διπλός κωδικός AET092</w:t>
      </w:r>
    </w:p>
    <w:p>
      <w:pPr>
        <w:spacing w:after="80"/>
        <w:jc w:val="both"/>
      </w:pPr>
      <w:r>
        <w:t>Ο κωδικός AET092 χρησιμοποιείται σε δύο διαφορετικές θεραπείες: «Τοποθέτηση Ρινογαστρικού Σωλήνα» στην κατηγορία 2 και «Παρεντερική θρομβόλυση – γενετικά ανασυνδυασμένο ενεργοποιητή του πλασμινογόνου» στην κατηγορία 5. Η διαφορά είναι τρεις βαθμίδες βαρύτητας, δηλαδή τριπλάσιο κόστος. Το σύστημα δεν φορτώνει τα δεδομένα όσο υπάρχει η διπλοεγγραφή· δεν κρατά σιωπηλά τη μία από τις δύο γραμμές.</w:t>
      </w:r>
    </w:p>
    <w:p>
      <w:r>
        <w:rPr>
          <w:b/>
          <w:color w:val="1F3864"/>
        </w:rPr>
        <w:t xml:space="preserve">Ζητούμενο: </w:t>
      </w:r>
      <w:r>
        <w:t>Νέος κωδικός για τη μία από τις δύο υπηρεσίες.</w:t>
      </w:r>
    </w:p>
    <w:p>
      <w:pPr>
        <w:spacing w:after="280"/>
      </w:pPr>
      <w:r>
        <w:rPr>
          <w:b/>
        </w:rPr>
        <w:t xml:space="preserve">Απόφαση Μονάδας: </w:t>
      </w:r>
      <w:r>
        <w:t>…………………………………………………………………………………………………………</w:t>
      </w:r>
    </w:p>
    <w:p>
      <w:r>
        <w:rPr>
          <w:b/>
          <w:sz w:val="22"/>
        </w:rPr>
        <w:t>2. Επικάλυψη βαρύτητας και τιμοκαταλόγου — 41 ζεύγη</w:t>
      </w:r>
    </w:p>
    <w:p>
      <w:pPr>
        <w:spacing w:after="80"/>
        <w:jc w:val="both"/>
      </w:pPr>
      <w:r>
        <w:t>Οι 40 από τις 48 χρεώσεις του τιμοκαταλόγου ΤΑ.ΕΠ. (83%) περιγράφουν την ίδια ακριβώς πράξη με υπηρεσία που ήδη συμμετέχει στην κοστολόγηση βάσει βαρύτητας. Συνολικά 41 ζεύγη. Μόνο 8 χρεώσεις είναι όντως πρόσθετες.</w:t>
      </w:r>
    </w:p>
    <w:p>
      <w:pPr>
        <w:spacing w:after="80"/>
        <w:jc w:val="both"/>
      </w:pPr>
      <w:r>
        <w:t>Παράδειγμα: η καρδιοπνευμονική αναζωογόνηση είναι βαρύτητα 12. Με τη μόνη τιμή μονάδας που τεκμηριώνεται σήμερα (€15,00) το περιστατικό κοστολογείται €180,00. Αν χρεωθεί και ο κωδικός SHSO-ER12, ο ασθενής πληρώνει €500,00 για μία αναζωογόνηση, από τα οποία τα €320,00 είναι δεύτερη χρέωση για πράξη ήδη καλυμμένη.</w:t>
      </w:r>
    </w:p>
    <w:p>
      <w:pPr>
        <w:spacing w:after="80"/>
        <w:jc w:val="both"/>
      </w:pPr>
      <w:r>
        <w:t>Μέχρι να αποφασίσετε, το σύστημα εφαρμόζει μόνο τη χρέωση βάσει βαρύτητας (weight_only) και δεν χρεώνει τη γραμμή τιμοκαταλόγου. Η επιλογή αυτή υποτιμολογεί, αλλά είναι το σφάλμα που μπορεί να υποστηριχθεί απέναντι στον ασθενή.</w:t>
      </w:r>
    </w:p>
    <w:p>
      <w:r>
        <w:rPr>
          <w:b/>
          <w:color w:val="1F3864"/>
        </w:rPr>
        <w:t xml:space="preserve">Ζητούμενο: </w:t>
      </w:r>
      <w:r>
        <w:t>Απόφαση για καθένα από τα 41 ζεύγη, στο συνημμένο αρχείο «overlap_decision_list.xlsx». Σε κάθε γραμμή επιλέγετε weight_only, tariff_only ή both. Αν όλα κριθούν «both», η συνολική αξία του τιμοκαταλόγου που προστίθεται ανέρχεται σε €5.743,00.</w:t>
      </w:r>
    </w:p>
    <w:p>
      <w:pPr>
        <w:spacing w:after="280"/>
      </w:pPr>
      <w:r>
        <w:rPr>
          <w:b/>
        </w:rPr>
        <w:t xml:space="preserve">Απόφαση Μονάδας: </w:t>
      </w:r>
      <w:r>
        <w:t>…………………………………………………………………………………………………………</w:t>
      </w:r>
    </w:p>
    <w:p/>
    <w:p>
      <w:r>
        <w:rPr>
          <w:b/>
          <w:color w:val="1F3864"/>
          <w:sz w:val="24"/>
        </w:rPr>
        <w:t>ΜΕΡΟΣ Β — Εμποδίζουν την οριστικοποίηση κοστολογήσεων</w:t>
      </w:r>
    </w:p>
    <w:p>
      <w:r>
        <w:rPr>
          <w:i/>
          <w:sz w:val="19"/>
        </w:rPr>
        <w:t>Η ανάπτυξη προχωρά κανονικά. Το σύστημα αρνείται να οριστικοποιήσει και αναφέρει τι λείπει, αντί να υποθέσει τιμή.</w:t>
      </w:r>
    </w:p>
    <w:p>
      <w:r>
        <w:rPr>
          <w:b/>
          <w:sz w:val="22"/>
        </w:rPr>
        <w:t>3. Τέλος εγγραφής — 15 από τις 23 κατηγορίες</w:t>
      </w:r>
    </w:p>
    <w:p>
      <w:pPr>
        <w:spacing w:after="80"/>
        <w:jc w:val="both"/>
      </w:pPr>
      <w:r>
        <w:t>Επιβεβαιωμένα σήμερα: 600 (€100,00), 603, 605 και 608 (€10,00). Τεκμηριωμένες εξαιρέσεις: 604, 606, 607, 609.</w:t>
      </w:r>
    </w:p>
    <w:p>
      <w:pPr>
        <w:spacing w:after="80"/>
        <w:jc w:val="both"/>
      </w:pPr>
      <w:r>
        <w:t>Παραμένουν κενές, χωρίς σημείωση που να εξηγεί το κενό, οι κατηγορίες:</w:t>
        <w:br/>
        <w:t>601, 602, 620, 621, 622, 623, 624, 625, 626, 627, 628, 629, 640, 641, 642.</w:t>
      </w:r>
    </w:p>
    <w:p>
      <w:pPr>
        <w:spacing w:after="80"/>
        <w:jc w:val="both"/>
      </w:pPr>
      <w:r>
        <w:t>Κενό κελί δεν σημαίνει απαλλαγή. Η διαφορά φτάνει τα €100,00 ανά περιστατικό· σε ασθενή «Επί Πληρωμή» το τέλος εγγραφής είναι περίπου όσο ολόκληρη η κοστολόγηση βαρύτητας ενός συνήθους περιστατικού. Το σύστημα υπολογίζει και εμφανίζει το κόστος βαρύτητας, αλλά δεν οριστικοποιεί κοστολόγηση στις κατηγορίες αυτές και αναφέρει ποια κατηγορία λείπει.</w:t>
      </w:r>
    </w:p>
    <w:p>
      <w:r>
        <w:rPr>
          <w:b/>
          <w:color w:val="1F3864"/>
        </w:rPr>
        <w:t xml:space="preserve">Ζητούμενο: </w:t>
      </w:r>
      <w:r>
        <w:t>Ποσό τέλους εγγραφής, ή ρητή απαλλαγή με €0,00, για καθεμία από τις 15 κατηγορίες.</w:t>
      </w:r>
    </w:p>
    <w:p>
      <w:pPr>
        <w:spacing w:after="280"/>
      </w:pPr>
      <w:r>
        <w:rPr>
          <w:b/>
        </w:rPr>
        <w:t xml:space="preserve">Απόφαση Μονάδας: </w:t>
      </w:r>
      <w:r>
        <w:t>…………………………………………………………………………………………………………</w:t>
      </w:r>
    </w:p>
    <w:p>
      <w:r>
        <w:rPr>
          <w:b/>
          <w:sz w:val="22"/>
        </w:rPr>
        <w:t>4. Τιμή μονάδας βαρύτητας ανά οικονομική κατηγορία</w:t>
      </w:r>
    </w:p>
    <w:p>
      <w:pPr>
        <w:spacing w:after="80"/>
        <w:jc w:val="both"/>
      </w:pPr>
      <w:r>
        <w:t>Η μόνη τιμή που τεκμηριώνεται είναι €15,00 ανά μονάδα βαρύτητας για την κατηγορία 624 (Αιτητές Ασύλου/Δομές), και αυτή προέκυψε αριθμητικά από το υπόδειγμα κοστολόγησης (8 × 15 = 120). Δεν αποτελεί τεκμήριο για καμία άλλη κατηγορία.</w:t>
      </w:r>
    </w:p>
    <w:p>
      <w:pPr>
        <w:spacing w:after="80"/>
        <w:jc w:val="both"/>
      </w:pPr>
      <w:r>
        <w:t>Το σύστημα δεν εφαρμόζει προεπιλεγμένη τιμή όταν λείπει η τιμή της κατηγορίας. Αρνείται να οριστικοποιήσει και αναφέρει την κατηγορία.</w:t>
      </w:r>
    </w:p>
    <w:p>
      <w:r>
        <w:rPr>
          <w:b/>
          <w:color w:val="1F3864"/>
        </w:rPr>
        <w:t xml:space="preserve">Ζητούμενο: </w:t>
      </w:r>
      <w:r>
        <w:t>Τιμή μονάδας βαρύτητας για καθεμία από τις 23 κατηγορίες που ισχύουν στα ΤΑ.ΕΠ. Επιπλέον: έχει κάποια κατηγορία διαφορετική τιμή για τη διαλογή (triage) από την κανονική τιμή μονάδας;</w:t>
      </w:r>
    </w:p>
    <w:p>
      <w:pPr>
        <w:spacing w:after="280"/>
      </w:pPr>
      <w:r>
        <w:rPr>
          <w:b/>
        </w:rPr>
        <w:t xml:space="preserve">Απόφαση Μονάδας: </w:t>
      </w:r>
      <w:r>
        <w:t>…………………………………………………………………………………………………………</w:t>
      </w:r>
    </w:p>
    <w:p>
      <w:r>
        <w:rPr>
          <w:b/>
          <w:sz w:val="22"/>
        </w:rPr>
        <w:t>5. Ετικέτες βαθμίδας βαρύτητας στα ελληνικά</w:t>
      </w:r>
    </w:p>
    <w:p>
      <w:pPr>
        <w:spacing w:after="80"/>
        <w:jc w:val="both"/>
      </w:pPr>
      <w:r>
        <w:t>Οι βαθμίδες βαρύτητας τυπώνονται στο έντυπο κοστολόγησης. Στα αρχεία που λάβαμε υπάρχει μόνο το αγγλικό κείμενο («Low / Standard / High cost combination of investigation and treatment», «Triage»). Δεν συντάσσουμε ελληνική απόδοση για γραμμή που τυπώνεται σε λογαριασμό ασθενούς.</w:t>
      </w:r>
    </w:p>
    <w:p>
      <w:r>
        <w:rPr>
          <w:b/>
          <w:color w:val="1F3864"/>
        </w:rPr>
        <w:t xml:space="preserve">Ζητούμενο: </w:t>
      </w:r>
      <w:r>
        <w:t>Είτε οι τρεις ελληνικές ετικέτες, είτε επιβεβαίωση ότι τυπώνεται το αγγλικό κείμενο.</w:t>
      </w:r>
    </w:p>
    <w:p>
      <w:pPr>
        <w:spacing w:after="280"/>
      </w:pPr>
      <w:r>
        <w:rPr>
          <w:b/>
        </w:rPr>
        <w:t xml:space="preserve">Απόφαση Μονάδας: </w:t>
      </w:r>
      <w:r>
        <w:t>…………………………………………………………………………………………………………</w:t>
      </w:r>
    </w:p>
    <w:p>
      <w:r>
        <w:rPr>
          <w:b/>
          <w:sz w:val="22"/>
        </w:rPr>
        <w:t>6. Κατηγορίες που χρεώνονται σε τρίτο</w:t>
      </w:r>
    </w:p>
    <w:p>
      <w:pPr>
        <w:spacing w:after="80"/>
        <w:jc w:val="both"/>
      </w:pPr>
      <w:r>
        <w:t>Το σύστημα προβλέπει πεδίο για τον υπόχρεο πληρωμής, ώστε η τιμολόγηση προς τρίτους να προστεθεί στη δεύτερη φάση χωρίς αλλαγή δομής.</w:t>
      </w:r>
    </w:p>
    <w:p>
      <w:r>
        <w:rPr>
          <w:b/>
          <w:color w:val="1F3864"/>
        </w:rPr>
        <w:t xml:space="preserve">Ζητούμενο: </w:t>
      </w:r>
      <w:r>
        <w:t>Ποιες από τις κατηγορίες ΤΑ.ΕΠ. χρεώνονται σε τρίτο και όχι στον ασθενή, και ποιος είναι ο υπόχρεος σε κάθε περίπτωση (υπουργείο, πρεσβεία, υπηρεσία ασύλου κ.λπ.).</w:t>
      </w:r>
    </w:p>
    <w:p>
      <w:pPr>
        <w:spacing w:after="280"/>
      </w:pPr>
      <w:r>
        <w:rPr>
          <w:b/>
        </w:rPr>
        <w:t xml:space="preserve">Απόφαση Μονάδας: </w:t>
      </w:r>
      <w:r>
        <w:t>…………………………………………………………………………………………………………</w:t>
      </w:r>
    </w:p>
    <w:p/>
    <w:p>
      <w:r>
        <w:rPr>
          <w:b/>
          <w:color w:val="1F3864"/>
          <w:sz w:val="24"/>
        </w:rPr>
        <w:t>ΜΕΡΟΣ Γ — Πριν την παραγωγική λειτουργία</w:t>
      </w:r>
    </w:p>
    <w:p>
      <w:r>
        <w:rPr>
          <w:i/>
          <w:sz w:val="19"/>
        </w:rPr>
        <w:t>Δεν εμποδίζουν την ανάπτυξη, αλλά πρέπει να κλείσουν πριν το σύστημα τεθεί σε λειτουργία.</w:t>
      </w:r>
    </w:p>
    <w:p>
      <w:r>
        <w:rPr>
          <w:b/>
          <w:sz w:val="22"/>
        </w:rPr>
        <w:t>7. AET086 και AET092 — ίδια περιγραφή</w:t>
      </w:r>
    </w:p>
    <w:p>
      <w:pPr>
        <w:spacing w:after="80"/>
        <w:jc w:val="both"/>
      </w:pPr>
      <w:r>
        <w:t>Ο AET086 φέρει την ίδια περιγραφή με τη γραμμή κατηγορίας 5 του AET092. Πιθανότατα ο AET086 είναι ο ορθός κωδικός της θρομβόλυσης και η γραμμή AET092 περισσεύει.</w:t>
      </w:r>
    </w:p>
    <w:p>
      <w:r>
        <w:rPr>
          <w:b/>
          <w:color w:val="1F3864"/>
        </w:rPr>
        <w:t xml:space="preserve">Ζητούμενο: </w:t>
      </w:r>
      <w:r>
        <w:t>Επιβεβαίωση μαζί με το θέμα 1.</w:t>
      </w:r>
    </w:p>
    <w:p>
      <w:pPr>
        <w:spacing w:after="280"/>
      </w:pPr>
      <w:r>
        <w:rPr>
          <w:b/>
        </w:rPr>
        <w:t xml:space="preserve">Απόφαση Μονάδας: </w:t>
      </w:r>
      <w:r>
        <w:t>…………………………………………………………………………………………………………</w:t>
      </w:r>
    </w:p>
    <w:p>
      <w:r>
        <w:rPr>
          <w:b/>
          <w:sz w:val="22"/>
        </w:rPr>
        <w:t>8. AET085 και AET091 — ίδια υπηρεσία</w:t>
      </w:r>
    </w:p>
    <w:p>
      <w:pPr>
        <w:spacing w:after="80"/>
        <w:jc w:val="both"/>
      </w:pPr>
      <w:r>
        <w:t>Και οι δύο φέρουν την περιγραφή «Αναζωογόνηση / Καρδιοπνευμονική αναζωογόνηση» στην κατηγορία 5. Δεν επηρεάζεται η τιμή, αλλά ο κωδικοποιητής βλέπει την ίδια γραμμή δύο φορές στον κατάλογο επιλογής.</w:t>
      </w:r>
    </w:p>
    <w:p>
      <w:r>
        <w:rPr>
          <w:b/>
          <w:color w:val="1F3864"/>
        </w:rPr>
        <w:t xml:space="preserve">Ζητούμενο: </w:t>
      </w:r>
      <w:r>
        <w:t>Απόσυρση του ενός κωδικού.</w:t>
      </w:r>
    </w:p>
    <w:p>
      <w:pPr>
        <w:spacing w:after="280"/>
      </w:pPr>
      <w:r>
        <w:rPr>
          <w:b/>
        </w:rPr>
        <w:t xml:space="preserve">Απόφαση Μονάδας: </w:t>
      </w:r>
      <w:r>
        <w:t>…………………………………………………………………………………………………………</w:t>
      </w:r>
    </w:p>
    <w:p>
      <w:r>
        <w:rPr>
          <w:b/>
          <w:sz w:val="22"/>
        </w:rPr>
        <w:t>9. Κενά στις ακολουθίες κωδικών</w:t>
      </w:r>
    </w:p>
    <w:p>
      <w:pPr>
        <w:spacing w:after="80"/>
        <w:jc w:val="both"/>
      </w:pPr>
      <w:r>
        <w:t>Λείπουν οι κωδικοί AET065, AET067, AET084, AET087, AET096 και AED018.</w:t>
      </w:r>
    </w:p>
    <w:p>
      <w:r>
        <w:rPr>
          <w:b/>
          <w:color w:val="1F3864"/>
        </w:rPr>
        <w:t xml:space="preserve">Ζητούμενο: </w:t>
      </w:r>
      <w:r>
        <w:t>Επιβεβαίωση ότι αποσύρθηκαν και δεν χάθηκαν κατά τη μεταφορά. Αν κάποιος χάθηκε, χάθηκε μαζί και η κατηγορία βαρύτητας που έφερε.</w:t>
      </w:r>
    </w:p>
    <w:p>
      <w:pPr>
        <w:spacing w:after="280"/>
      </w:pPr>
      <w:r>
        <w:rPr>
          <w:b/>
        </w:rPr>
        <w:t xml:space="preserve">Απόφαση Μονάδας: </w:t>
      </w:r>
      <w:r>
        <w:t>…………………………………………………………………………………………………………</w:t>
      </w:r>
    </w:p>
    <w:p>
      <w:r>
        <w:rPr>
          <w:b/>
          <w:sz w:val="22"/>
        </w:rPr>
        <w:t>10. Λείπει ο SHSO-ER17</w:t>
      </w:r>
    </w:p>
    <w:p>
      <w:pPr>
        <w:spacing w:after="80"/>
        <w:jc w:val="both"/>
      </w:pPr>
      <w:r>
        <w:t>Η αρίθμηση του τιμοκαταλόγου ΤΑ.ΕΠ. περνά από ER16 σε ER18.</w:t>
      </w:r>
    </w:p>
    <w:p>
      <w:r>
        <w:rPr>
          <w:b/>
          <w:color w:val="1F3864"/>
        </w:rPr>
        <w:t xml:space="preserve">Ζητούμενο: </w:t>
      </w:r>
      <w:r>
        <w:t>Επιβεβαίωση ότι αποσύρθηκε και δεν παραλείφθηκε.</w:t>
      </w:r>
    </w:p>
    <w:p>
      <w:pPr>
        <w:spacing w:after="280"/>
      </w:pPr>
      <w:r>
        <w:rPr>
          <w:b/>
        </w:rPr>
        <w:t xml:space="preserve">Απόφαση Μονάδας: </w:t>
      </w:r>
      <w:r>
        <w:t>…………………………………………………………………………………………………………</w:t>
      </w:r>
    </w:p>
    <w:p>
      <w:r>
        <w:rPr>
          <w:b/>
          <w:sz w:val="22"/>
        </w:rPr>
        <w:t>11. Εννέα τιμές τιμοκαταλόγου ως ελεύθερο κείμενο</w:t>
      </w:r>
    </w:p>
    <w:p>
      <w:pPr>
        <w:spacing w:after="80"/>
        <w:jc w:val="both"/>
      </w:pPr>
      <w:r>
        <w:t>Οι παρακάτω γραμμές δεν φέρουν ποσό αλλά περιγραφή:</w:t>
        <w:br/>
        <w:t>• SHSO-ER2 «15€ / 60€ / 70€» — χρειάζεται διάσπαση σε τρεις γραμμές (ανά ουσία, πενταπλό, δεκαπλό).</w:t>
        <w:br/>
        <w:t>• SHSO-ER3, ER4, ER5, ER6 «χρέωση ανάλογα με το ανατομικό σημείο» — αντλούν τιμή από τον τιμοκατάλογο Ακτινοδιαγνωστικής.</w:t>
        <w:br/>
        <w:t>• SHSO-ER13 «250€ / συν αναλώσιμο» — βάση συν αναλώσιμα με υποχρεωτική αιτιολογία.</w:t>
        <w:br/>
        <w:t>• SHSO-ER16 «50€ / 120€ / 200€ / συν αναλώσιμα» — τρεις κλίμακες και αναλώσιμα. Δεν προκύπτει σε τι αντιστοιχεί κάθε κλίμακα.</w:t>
        <w:br/>
        <w:t>• SHSO-ER36 «20 €» — μόνο το σύμβολο νομίσματος.</w:t>
        <w:br/>
        <w:t>• SHSO-ER39 «20€ / συν 5€ ανά ώρα» — βάση συν ωριαία χρέωση.</w:t>
      </w:r>
    </w:p>
    <w:p>
      <w:r>
        <w:rPr>
          <w:b/>
          <w:color w:val="1F3864"/>
        </w:rPr>
        <w:t xml:space="preserve">Ζητούμενο: </w:t>
      </w:r>
      <w:r>
        <w:t>Επανέκδοση των γραμμών αυτών με δομημένα ποσά, ημερομηνία απόφασης και εγκρίνουσα αρχή. Ειδικά για τον SHSO-ER16, σε τι αντιστοιχούν οι τρεις κλίμακες;</w:t>
      </w:r>
    </w:p>
    <w:p>
      <w:pPr>
        <w:spacing w:after="280"/>
      </w:pPr>
      <w:r>
        <w:rPr>
          <w:b/>
        </w:rPr>
        <w:t xml:space="preserve">Απόφαση Μονάδας: </w:t>
      </w:r>
      <w:r>
        <w:t>…………………………………………………………………………………………………………</w:t>
      </w:r>
    </w:p>
    <w:p>
      <w:r>
        <w:rPr>
          <w:b/>
          <w:sz w:val="22"/>
        </w:rPr>
        <w:t>12. Σύνθεση του αριθμού κοστολόγησης</w:t>
      </w:r>
    </w:p>
    <w:p>
      <w:pPr>
        <w:spacing w:after="80"/>
        <w:jc w:val="both"/>
      </w:pPr>
      <w:r>
        <w:t>Στο υπόδειγμα που λάβαμε ο αριθμός είναι OKY1054/0035. Η αρίθμηση πρέπει να είναι ανά νοσηλευτήριο, συνεχής, χωρίς κενά, και να αποδίδεται κατά την οριστικοποίηση. Δεν συνάγουμε τον κανόνα από ένα παράδειγμα.</w:t>
      </w:r>
    </w:p>
    <w:p>
      <w:r>
        <w:rPr>
          <w:b/>
          <w:color w:val="1F3864"/>
        </w:rPr>
        <w:t xml:space="preserve">Ζητούμενο: </w:t>
      </w:r>
      <w:r>
        <w:t>Τι αντιπροσωπεύει το 1054 και ποια είναι η ακριβής σύνθεση του αριθμού.</w:t>
      </w:r>
    </w:p>
    <w:p>
      <w:pPr>
        <w:spacing w:after="280"/>
      </w:pPr>
      <w:r>
        <w:rPr>
          <w:b/>
        </w:rPr>
        <w:t xml:space="preserve">Απόφαση Μονάδας: </w:t>
      </w:r>
      <w:r>
        <w:t>…………………………………………………………………………………………………………</w:t>
      </w:r>
    </w:p>
    <w:p>
      <w:r>
        <w:rPr>
          <w:b/>
          <w:sz w:val="22"/>
        </w:rPr>
        <w:t>13. Διαγνώσεις ICD-10</w:t>
      </w:r>
    </w:p>
    <w:p>
      <w:pPr>
        <w:spacing w:after="80"/>
        <w:jc w:val="both"/>
      </w:pPr>
      <w:r>
        <w:t>Στο υπόδειγμα εμφανίζονται διαγνώσεις (π.χ. «A01.0 - Typhoid fever»). Τυπώνονται, αλλά δεν συμμετέχουν στην τιμολόγηση.</w:t>
      </w:r>
    </w:p>
    <w:p>
      <w:r>
        <w:rPr>
          <w:b/>
          <w:color w:val="1F3864"/>
        </w:rPr>
        <w:t xml:space="preserve">Ζητούμενο: </w:t>
      </w:r>
      <w:r>
        <w:t>Καταχωρούνται από τον κωδικοποιητή ή μεταφέρονται από την καταχώριση του ιατρού; Και επιβεβαίωση ότι δεν πρέπει να επηρεάζουν την τιμή.</w:t>
      </w:r>
    </w:p>
    <w:p>
      <w:pPr>
        <w:spacing w:after="280"/>
      </w:pPr>
      <w:r>
        <w:rPr>
          <w:b/>
        </w:rPr>
        <w:t xml:space="preserve">Απόφαση Μονάδας: </w:t>
      </w:r>
      <w:r>
        <w:t>…………………………………………………………………………………………………………</w:t>
      </w:r>
    </w:p>
    <w:p>
      <w:r>
        <w:rPr>
          <w:b/>
          <w:sz w:val="22"/>
        </w:rPr>
        <w:t>14. Ενιαίος ή ανά νοσηλευτήριο τιμοκατάλογος</w:t>
      </w:r>
    </w:p>
    <w:p>
      <w:pPr>
        <w:spacing w:after="80"/>
        <w:jc w:val="both"/>
      </w:pPr>
      <w:r>
        <w:t>Η δομή υποστηρίζει και τα δύο: τιμή χωρίς νοσηλευτήριο ισχύει παντού, ενώ γραμμή με νοσηλευτήριο υπερισχύει.</w:t>
      </w:r>
    </w:p>
    <w:p>
      <w:r>
        <w:rPr>
          <w:b/>
          <w:color w:val="1F3864"/>
        </w:rPr>
        <w:t xml:space="preserve">Ζητούμενο: </w:t>
      </w:r>
      <w:r>
        <w:t>Χρειάζονται τα εννέα νοσηλευτήρια διαφορετικούς τιμοκαταλόγους, ή ο τιμοκατάλογος είναι ενιαίος και διαφοροποιείται μόνο ο πίνακας τιμών;</w:t>
      </w:r>
    </w:p>
    <w:p>
      <w:pPr>
        <w:spacing w:after="280"/>
      </w:pPr>
      <w:r>
        <w:rPr>
          <w:b/>
        </w:rPr>
        <w:t xml:space="preserve">Απόφαση Μονάδας: </w:t>
      </w:r>
      <w:r>
        <w:t>…………………………………………………………………………………………………………</w:t>
      </w:r>
    </w:p>
    <w:p>
      <w:r>
        <w:br w:type="page"/>
      </w:r>
    </w:p>
    <w:p>
      <w:r>
        <w:rPr>
          <w:b/>
          <w:color w:val="1F3864"/>
        </w:rPr>
        <w:t>Σημείωση για τη διαδικασία</w:t>
      </w:r>
    </w:p>
    <w:p>
      <w:pPr>
        <w:jc w:val="both"/>
      </w:pPr>
      <w:r>
        <w:t>Οι τιμές είναι χρονικά οριοθετημένες. Κάθε κοστολόγηση χρησιμοποιεί την τιμή που ίσχυε κατά την ημερομηνία εξέτασης, όχι τη σημερινή, ώστε ένα περιστατικό του 2026 να ανακοστολογείται με τα ίδια αποτελέσματα και το 2031. Αλλαγή τιμής γίνεται με κλείσιμο της παλιάς περιόδου και άνοιγμα νέας, με καταγραφή του χρήστη και του εγγράφου απόφασης. Καμία τιμή δεν αντικαθίσταται επιτόπου.</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