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072BC"/>
          <w:sz w:val="20"/>
          <w:szCs w:val="20"/>
        </w:rPr>
        <w:t xml:space="preserve">ΟΚΥπΥ — Οργανισμός Κρατικών Υπηρεσιών Υγείας</w:t>
      </w:r>
    </w:p>
    <w:p>
      <w:pPr>
        <w:pBdr>
          <w:bottom w:val="single" w:color="062E5C" w:sz="12" w:space="6"/>
        </w:pBdr>
        <w:spacing w:after="80"/>
      </w:pPr>
      <w:r>
        <w:rPr>
          <w:b/>
          <w:bCs/>
          <w:color w:val="062E5C"/>
          <w:sz w:val="40"/>
          <w:szCs w:val="40"/>
        </w:rPr>
        <w:t xml:space="preserve">Συμφωνία Πληρωμών ΟΑΥ — Οδηγίες χρήσης</w:t>
      </w:r>
    </w:p>
    <w:p>
      <w:pPr>
        <w:spacing w:after="140" w:line="276"/>
      </w:pPr>
      <w:r>
        <w:rPr>
          <w:color w:val="595959"/>
        </w:rPr>
        <w:t xml:space="preserve">Μηνιαία συμφωνία των πληρωμών του Οργανισμού Ασφάλισης Υγείας (ΟΑΥ) ανά νοσοκομείο και ετοιμασία των λογιστικών εγγραφών για το SAP.</w:t>
      </w:r>
    </w:p>
    <w:p>
      <w:pPr>
        <w:spacing w:after="300" w:line="276"/>
      </w:pPr>
      <w:r>
        <w:rPr>
          <w:color w:val="595959"/>
          <w:sz w:val="18"/>
          <w:szCs w:val="18"/>
        </w:rPr>
        <w:t xml:space="preserve">Έκδοση Σεπτεμβρίου 2026 · Εσωτερικό εργαλείο Διεύθυνσης Οικονομικών Υπηρεσιών</w:t>
      </w:r>
    </w:p>
    <w:p>
      <w:pPr>
        <w:pStyle w:val="Heading1"/>
        <w:spacing w:after="160" w:before="320"/>
      </w:pPr>
      <w:r>
        <w:rPr>
          <w:b/>
          <w:bCs/>
          <w:color w:val="062E5C"/>
          <w:sz w:val="30"/>
          <w:szCs w:val="30"/>
        </w:rPr>
        <w:t xml:space="preserve">1. Τι κάνει το εργαλείο</w:t>
      </w:r>
    </w:p>
    <w:p>
      <w:pPr>
        <w:spacing w:after="140" w:line="276"/>
      </w:pPr>
      <w:r>
        <w:t xml:space="preserve">Διαβάζει τις μηνιαίες αναφορές που εκδίδει ο ΟΑΥ για ένα νοσοκομείο, τις δένει μεταξύ τους και με την επιταγή, και σας δίνει δύο αρχεία.</w:t>
      </w:r>
    </w:p>
    <w:p>
      <w:pPr>
        <w:pStyle w:val="ListParagraph"/>
        <w:numPr>
          <w:ilvl w:val="0"/>
          <w:numId w:val="2"/>
        </w:numPr>
        <w:spacing w:after="80" w:line="276"/>
      </w:pPr>
      <w:r>
        <w:t xml:space="preserve">Το βιβλίο συμφωνίας, με την ανάλυση της επιταγής, τους τέσσερις κάδους του ταμειακού διακανονισμού, τις διασταυρώσεις με τις πηγές και τον επιμερισμό των εσόδων ανά κλινική.</w:t>
      </w:r>
    </w:p>
    <w:p>
      <w:pPr>
        <w:pStyle w:val="ListParagraph"/>
        <w:numPr>
          <w:ilvl w:val="0"/>
          <w:numId w:val="2"/>
        </w:numPr>
        <w:spacing w:after="80" w:line="276"/>
      </w:pPr>
      <w:r>
        <w:t xml:space="preserve">Το αρχείο εγγραφών SAP, στη διάταξη που ανεβάζει το Λογιστήριο, με εταιρεία, λογαριασμό εσόδων και κέντρο κόστους συμπληρωμένα.</w:t>
      </w:r>
    </w:p>
    <w:p>
      <w:pPr>
        <w:spacing w:after="140" w:line="276"/>
      </w:pPr>
      <w:r>
        <w:t xml:space="preserve">Τρέχει ολόκληρο μέσα στον browser σας. Κανένα αρχείο δεν φεύγει από τον υπολογιστή, τίποτα δεν αποθηκεύεται, και μόλις κλείσετε τη σελίδα δεν μένει τίποτα πίσω. Δεν υπάρχει βάση δεδομένων ούτε σύνδεση χρήστη.</w:t>
      </w:r>
    </w:p>
    <w:p>
      <w:pPr>
        <w:pStyle w:val="Heading1"/>
        <w:spacing w:after="160" w:before="320"/>
      </w:pPr>
      <w:r>
        <w:rPr>
          <w:b/>
          <w:bCs/>
          <w:color w:val="062E5C"/>
          <w:sz w:val="30"/>
          <w:szCs w:val="30"/>
        </w:rPr>
        <w:t xml:space="preserve">2. Πώς δουλεύετε έναν μήνα</w:t>
      </w:r>
    </w:p>
    <w:p>
      <w:pPr>
        <w:pStyle w:val="ListParagraph"/>
        <w:numPr>
          <w:ilvl w:val="0"/>
          <w:numId w:val="3"/>
        </w:numPr>
        <w:spacing w:after="80" w:line="276"/>
      </w:pPr>
      <w:r>
        <w:t xml:space="preserve">Ανοίξτε το okypy-recon.html με διπλό κλικ. Δεν χρειάζεται εγκατάσταση.</w:t>
      </w:r>
    </w:p>
    <w:p>
      <w:pPr>
        <w:pStyle w:val="ListParagraph"/>
        <w:numPr>
          <w:ilvl w:val="0"/>
          <w:numId w:val="3"/>
        </w:numPr>
        <w:spacing w:after="80" w:line="276"/>
      </w:pPr>
      <w:r>
        <w:t xml:space="preserve">Σύρετε στο πλαίσιο όλα τα αρχεία ενός νοσοκομείου για έναν μήνα.</w:t>
      </w:r>
    </w:p>
    <w:p>
      <w:pPr>
        <w:pStyle w:val="ListParagraph"/>
        <w:numPr>
          <w:ilvl w:val="0"/>
          <w:numId w:val="3"/>
        </w:numPr>
        <w:spacing w:after="80" w:line="276"/>
      </w:pPr>
      <w:r>
        <w:t xml:space="preserve">Δείτε τον πίνακα αναγνώρισης: κάθε αρχείο πρέπει να δείχνει είδος αναφοράς, νοσοκομείο και μήνα. Ό,τι δεν αναγνωριστεί βγάζει προειδοποίηση και μένει εκτός.</w:t>
      </w:r>
    </w:p>
    <w:p>
      <w:pPr>
        <w:pStyle w:val="ListParagraph"/>
        <w:numPr>
          <w:ilvl w:val="0"/>
          <w:numId w:val="3"/>
        </w:numPr>
        <w:spacing w:after="80" w:line="276"/>
      </w:pPr>
      <w:r>
        <w:t xml:space="preserve">Πατήστε «Εκτέλεση συμφωνίας». Το κουμπί ενεργοποιείται μόλις συμπληρωθεί το απαραίτητο σετ.</w:t>
      </w:r>
    </w:p>
    <w:p>
      <w:pPr>
        <w:pStyle w:val="ListParagraph"/>
        <w:numPr>
          <w:ilvl w:val="0"/>
          <w:numId w:val="3"/>
        </w:numPr>
        <w:spacing w:after="80" w:line="276"/>
      </w:pPr>
      <w:r>
        <w:t xml:space="preserve">Διαβάστε τη σύνοψη στην οθόνη: σύνολο επιταγής, οι τέσσερις κάδοι, τα κελιά ελέγχου, οι ανοικτές διαφορές.</w:t>
      </w:r>
    </w:p>
    <w:p>
      <w:pPr>
        <w:pStyle w:val="ListParagraph"/>
        <w:numPr>
          <w:ilvl w:val="0"/>
          <w:numId w:val="3"/>
        </w:numPr>
        <w:spacing w:after="80" w:line="276"/>
      </w:pPr>
      <w:r>
        <w:t xml:space="preserve">Κατεβάστε το βιβλίο συμφωνίας και, όταν υπάρχει επιταγή, το αρχείο SAP.</w:t>
      </w:r>
    </w:p>
    <w:p>
      <w:pPr>
        <w:spacing w:after="140" w:line="276"/>
      </w:pPr>
      <w:r>
        <w:t xml:space="preserve">Ένα νοσοκομείο και ένας μήνας κάθε φορά. Αν στην παρτίδα μπερδευτούν δύο νοσοκομεία ή δύο μήνες, η εκτέλεση σταματά με σαφές μήνυμα.</w:t>
      </w:r>
    </w:p>
    <w:p>
      <w:pPr>
        <w:spacing w:after="140" w:line="276"/>
      </w:pPr>
      <w:r>
        <w:t xml:space="preserve">Η επιταγή φέρει πάντα ημερομηνία του επόμενου μήνα, γιατί ο ΟΑΥ πληρώνει με καθυστέρηση· ο μήνας υπηρεσιών βγαίνει μόνος του, ημερομηνία μείον έναν μήνα.</w:t>
      </w:r>
    </w:p>
    <w:p>
      <w:pPr>
        <w:pStyle w:val="Heading1"/>
        <w:spacing w:after="160" w:before="320"/>
      </w:pPr>
      <w:r>
        <w:rPr>
          <w:b/>
          <w:bCs/>
          <w:color w:val="062E5C"/>
          <w:sz w:val="30"/>
          <w:szCs w:val="30"/>
        </w:rPr>
        <w:t xml:space="preserve">3. Τι ανεβάζετε</w:t>
      </w:r>
    </w:p>
    <w:p>
      <w:pPr>
        <w:pStyle w:val="Heading2"/>
        <w:spacing w:after="120" w:before="240"/>
      </w:pPr>
      <w:r>
        <w:rPr>
          <w:b/>
          <w:bCs/>
          <w:color w:val="0072BC"/>
          <w:sz w:val="24"/>
          <w:szCs w:val="24"/>
        </w:rPr>
        <w:t xml:space="preserve">Απαραίτητα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4700"/>
        <w:gridCol w:w="1500"/>
        <w:gridCol w:w="2206"/>
      </w:tblGrid>
      <w:tr>
        <w:trPr>
          <w:tblHeader/>
        </w:trPr>
        <w:tc>
          <w:tcPr>
            <w:tcW w:type="dxa" w:w="620"/>
            <w:shd w:fill="062E5C" w:val="clear"/>
            <w:tcMar>
              <w:top w:type="dxa" w:w="60"/>
              <w:left w:type="dxa" w:w="100"/>
              <w:bottom w:type="dxa" w:w="60"/>
              <w:right w:type="dxa" w:w="100"/>
            </w:tcMar>
          </w:tcPr>
          <w:p>
            <w:pPr>
              <w:spacing w:after="0" w:line="252"/>
            </w:pPr>
            <w:r>
              <w:rPr>
                <w:b/>
                <w:bCs/>
                <w:color w:val="FFFFFF"/>
                <w:sz w:val="19"/>
                <w:szCs w:val="19"/>
              </w:rPr>
              <w:t xml:space="preserve">#</w:t>
            </w:r>
          </w:p>
        </w:tc>
        <w:tc>
          <w:tcPr>
            <w:tcW w:type="dxa" w:w="4700"/>
            <w:shd w:fill="062E5C" w:val="clear"/>
            <w:tcMar>
              <w:top w:type="dxa" w:w="60"/>
              <w:left w:type="dxa" w:w="100"/>
              <w:bottom w:type="dxa" w:w="60"/>
              <w:right w:type="dxa" w:w="100"/>
            </w:tcMar>
          </w:tcPr>
          <w:p>
            <w:pPr>
              <w:spacing w:after="0" w:line="252"/>
            </w:pPr>
            <w:r>
              <w:rPr>
                <w:b/>
                <w:bCs/>
                <w:color w:val="FFFFFF"/>
                <w:sz w:val="19"/>
                <w:szCs w:val="19"/>
              </w:rPr>
              <w:t xml:space="preserve">Αναφορά</w:t>
            </w:r>
          </w:p>
        </w:tc>
        <w:tc>
          <w:tcPr>
            <w:tcW w:type="dxa" w:w="1500"/>
            <w:shd w:fill="062E5C" w:val="clear"/>
            <w:tcMar>
              <w:top w:type="dxa" w:w="60"/>
              <w:left w:type="dxa" w:w="100"/>
              <w:bottom w:type="dxa" w:w="60"/>
              <w:right w:type="dxa" w:w="100"/>
            </w:tcMar>
          </w:tcPr>
          <w:p>
            <w:pPr>
              <w:spacing w:after="0" w:line="252"/>
            </w:pPr>
            <w:r>
              <w:rPr>
                <w:b/>
                <w:bCs/>
                <w:color w:val="FFFFFF"/>
                <w:sz w:val="19"/>
                <w:szCs w:val="19"/>
              </w:rPr>
              <w:t xml:space="preserve">Μορφή</w:t>
            </w:r>
          </w:p>
        </w:tc>
        <w:tc>
          <w:tcPr>
            <w:tcW w:type="dxa" w:w="2206"/>
            <w:shd w:fill="062E5C" w:val="clear"/>
            <w:tcMar>
              <w:top w:type="dxa" w:w="60"/>
              <w:left w:type="dxa" w:w="100"/>
              <w:bottom w:type="dxa" w:w="60"/>
              <w:right w:type="dxa" w:w="100"/>
            </w:tcMar>
          </w:tcPr>
          <w:p>
            <w:pPr>
              <w:spacing w:after="0" w:line="252"/>
            </w:pPr>
            <w:r>
              <w:rPr>
                <w:b/>
                <w:bCs/>
                <w:color w:val="FFFFFF"/>
                <w:sz w:val="19"/>
                <w:szCs w:val="19"/>
              </w:rPr>
              <w:t xml:space="preserve">Πού κοιτά το εργαλείο</w:t>
            </w:r>
          </w:p>
        </w:tc>
      </w:tr>
      <w:tr>
        <w:tc>
          <w:tcPr>
            <w:tcW w:type="dxa" w:w="620"/>
            <w:tcMar>
              <w:top w:type="dxa" w:w="60"/>
              <w:left w:type="dxa" w:w="100"/>
              <w:bottom w:type="dxa" w:w="60"/>
              <w:right w:type="dxa" w:w="100"/>
            </w:tcMar>
          </w:tcPr>
          <w:p>
            <w:pPr>
              <w:spacing w:after="0" w:line="252"/>
            </w:pPr>
            <w:r>
              <w:rPr>
                <w:sz w:val="19"/>
                <w:szCs w:val="19"/>
              </w:rPr>
              <w:t xml:space="preserve">1</w:t>
            </w:r>
          </w:p>
        </w:tc>
        <w:tc>
          <w:tcPr>
            <w:tcW w:type="dxa" w:w="4700"/>
            <w:tcMar>
              <w:top w:type="dxa" w:w="60"/>
              <w:left w:type="dxa" w:w="100"/>
              <w:bottom w:type="dxa" w:w="60"/>
              <w:right w:type="dxa" w:w="100"/>
            </w:tcMar>
          </w:tcPr>
          <w:p>
            <w:pPr>
              <w:spacing w:after="0" w:line="252"/>
            </w:pPr>
            <w:r>
              <w:rPr>
                <w:sz w:val="19"/>
                <w:szCs w:val="19"/>
              </w:rPr>
              <w:t xml:space="preserve">Κατάσταση Πληρωμής (SRA) — η επιταγή</w:t>
            </w:r>
          </w:p>
        </w:tc>
        <w:tc>
          <w:tcPr>
            <w:tcW w:type="dxa" w:w="1500"/>
            <w:tcMar>
              <w:top w:type="dxa" w:w="60"/>
              <w:left w:type="dxa" w:w="100"/>
              <w:bottom w:type="dxa" w:w="60"/>
              <w:right w:type="dxa" w:w="100"/>
            </w:tcMar>
          </w:tcPr>
          <w:p>
            <w:pPr>
              <w:spacing w:after="0" w:line="252"/>
            </w:pPr>
            <w:r>
              <w:rPr>
                <w:sz w:val="19"/>
                <w:szCs w:val="19"/>
              </w:rPr>
              <w:t xml:space="preserve">PDF</w:t>
            </w:r>
          </w:p>
        </w:tc>
        <w:tc>
          <w:tcPr>
            <w:tcW w:type="dxa" w:w="2206"/>
            <w:tcMar>
              <w:top w:type="dxa" w:w="60"/>
              <w:left w:type="dxa" w:w="100"/>
              <w:bottom w:type="dxa" w:w="60"/>
              <w:right w:type="dxa" w:w="100"/>
            </w:tcMar>
          </w:tcPr>
          <w:p>
            <w:pPr>
              <w:spacing w:after="0" w:line="252"/>
            </w:pPr>
            <w:r>
              <w:rPr>
                <w:sz w:val="19"/>
                <w:szCs w:val="19"/>
              </w:rPr>
              <w:t xml:space="preserve">Αριθμός επιταγής, γραμμές, σύνολο</w:t>
            </w:r>
          </w:p>
        </w:tc>
      </w:tr>
      <w:tr>
        <w:tc>
          <w:tcPr>
            <w:tcW w:type="dxa" w:w="620"/>
            <w:tcMar>
              <w:top w:type="dxa" w:w="60"/>
              <w:left w:type="dxa" w:w="100"/>
              <w:bottom w:type="dxa" w:w="60"/>
              <w:right w:type="dxa" w:w="100"/>
            </w:tcMar>
          </w:tcPr>
          <w:p>
            <w:pPr>
              <w:spacing w:after="0" w:line="252"/>
            </w:pPr>
            <w:r>
              <w:rPr>
                <w:sz w:val="19"/>
                <w:szCs w:val="19"/>
              </w:rPr>
              <w:t xml:space="preserve">2</w:t>
            </w:r>
          </w:p>
        </w:tc>
        <w:tc>
          <w:tcPr>
            <w:tcW w:type="dxa" w:w="4700"/>
            <w:tcMar>
              <w:top w:type="dxa" w:w="60"/>
              <w:left w:type="dxa" w:w="100"/>
              <w:bottom w:type="dxa" w:w="60"/>
              <w:right w:type="dxa" w:w="100"/>
            </w:tcMar>
          </w:tcPr>
          <w:p>
            <w:pPr>
              <w:spacing w:after="0" w:line="252"/>
            </w:pPr>
            <w:r>
              <w:rPr>
                <w:sz w:val="19"/>
                <w:szCs w:val="19"/>
              </w:rPr>
              <w:t xml:space="preserve">Ενδ. Πληρωμένες Απαιτήσεις</w:t>
            </w:r>
          </w:p>
        </w:tc>
        <w:tc>
          <w:tcPr>
            <w:tcW w:type="dxa" w:w="1500"/>
            <w:tcMar>
              <w:top w:type="dxa" w:w="60"/>
              <w:left w:type="dxa" w:w="100"/>
              <w:bottom w:type="dxa" w:w="60"/>
              <w:right w:type="dxa" w:w="100"/>
            </w:tcMar>
          </w:tcPr>
          <w:p>
            <w:pPr>
              <w:spacing w:after="0" w:line="252"/>
            </w:pPr>
            <w:r>
              <w:rPr>
                <w:sz w:val="19"/>
                <w:szCs w:val="19"/>
              </w:rPr>
              <w:t xml:space="preserve">Excel, XML, PDF</w:t>
            </w:r>
          </w:p>
        </w:tc>
        <w:tc>
          <w:tcPr>
            <w:tcW w:type="dxa" w:w="2206"/>
            <w:tcMar>
              <w:top w:type="dxa" w:w="60"/>
              <w:left w:type="dxa" w:w="100"/>
              <w:bottom w:type="dxa" w:w="60"/>
              <w:right w:type="dxa" w:w="100"/>
            </w:tcMar>
          </w:tcPr>
          <w:p>
            <w:pPr>
              <w:spacing w:after="0" w:line="252"/>
            </w:pPr>
            <w:r>
              <w:rPr>
                <w:sz w:val="19"/>
                <w:szCs w:val="19"/>
              </w:rPr>
              <w:t xml:space="preserve">Συνοπτικός πίνακας</w:t>
            </w:r>
          </w:p>
        </w:tc>
      </w:tr>
      <w:tr>
        <w:tc>
          <w:tcPr>
            <w:tcW w:type="dxa" w:w="620"/>
            <w:tcMar>
              <w:top w:type="dxa" w:w="60"/>
              <w:left w:type="dxa" w:w="100"/>
              <w:bottom w:type="dxa" w:w="60"/>
              <w:right w:type="dxa" w:w="100"/>
            </w:tcMar>
          </w:tcPr>
          <w:p>
            <w:pPr>
              <w:spacing w:after="0" w:line="252"/>
            </w:pPr>
            <w:r>
              <w:rPr>
                <w:sz w:val="19"/>
                <w:szCs w:val="19"/>
              </w:rPr>
              <w:t xml:space="preserve">3</w:t>
            </w:r>
          </w:p>
        </w:tc>
        <w:tc>
          <w:tcPr>
            <w:tcW w:type="dxa" w:w="4700"/>
            <w:tcMar>
              <w:top w:type="dxa" w:w="60"/>
              <w:left w:type="dxa" w:w="100"/>
              <w:bottom w:type="dxa" w:w="60"/>
              <w:right w:type="dxa" w:w="100"/>
            </w:tcMar>
          </w:tcPr>
          <w:p>
            <w:pPr>
              <w:spacing w:after="0" w:line="252"/>
            </w:pPr>
            <w:r>
              <w:rPr>
                <w:sz w:val="19"/>
                <w:szCs w:val="19"/>
              </w:rPr>
              <w:t xml:space="preserve">Πληρωμένες Απαιτήσεις «all»</w:t>
            </w:r>
          </w:p>
        </w:tc>
        <w:tc>
          <w:tcPr>
            <w:tcW w:type="dxa" w:w="1500"/>
            <w:tcMar>
              <w:top w:type="dxa" w:w="60"/>
              <w:left w:type="dxa" w:w="100"/>
              <w:bottom w:type="dxa" w:w="60"/>
              <w:right w:type="dxa" w:w="100"/>
            </w:tcMar>
          </w:tcPr>
          <w:p>
            <w:pPr>
              <w:spacing w:after="0" w:line="252"/>
            </w:pPr>
            <w:r>
              <w:rPr>
                <w:sz w:val="19"/>
                <w:szCs w:val="19"/>
              </w:rPr>
              <w:t xml:space="preserve">Excel, XML, PDF</w:t>
            </w:r>
          </w:p>
        </w:tc>
        <w:tc>
          <w:tcPr>
            <w:tcW w:type="dxa" w:w="2206"/>
            <w:tcMar>
              <w:top w:type="dxa" w:w="60"/>
              <w:left w:type="dxa" w:w="100"/>
              <w:bottom w:type="dxa" w:w="60"/>
              <w:right w:type="dxa" w:w="100"/>
            </w:tcMar>
          </w:tcPr>
          <w:p>
            <w:pPr>
              <w:spacing w:after="0" w:line="252"/>
            </w:pPr>
            <w:r>
              <w:rPr>
                <w:sz w:val="19"/>
                <w:szCs w:val="19"/>
              </w:rPr>
              <w:t xml:space="preserve">Στήλη DR SEGMENT</w:t>
            </w:r>
          </w:p>
        </w:tc>
      </w:tr>
      <w:tr>
        <w:tc>
          <w:tcPr>
            <w:tcW w:type="dxa" w:w="620"/>
            <w:tcMar>
              <w:top w:type="dxa" w:w="60"/>
              <w:left w:type="dxa" w:w="100"/>
              <w:bottom w:type="dxa" w:w="60"/>
              <w:right w:type="dxa" w:w="100"/>
            </w:tcMar>
          </w:tcPr>
          <w:p>
            <w:pPr>
              <w:spacing w:after="0" w:line="252"/>
            </w:pPr>
            <w:r>
              <w:rPr>
                <w:sz w:val="19"/>
                <w:szCs w:val="19"/>
              </w:rPr>
              <w:t xml:space="preserve">4</w:t>
            </w:r>
          </w:p>
        </w:tc>
        <w:tc>
          <w:tcPr>
            <w:tcW w:type="dxa" w:w="4700"/>
            <w:tcMar>
              <w:top w:type="dxa" w:w="60"/>
              <w:left w:type="dxa" w:w="100"/>
              <w:bottom w:type="dxa" w:w="60"/>
              <w:right w:type="dxa" w:w="100"/>
            </w:tcMar>
          </w:tcPr>
          <w:p>
            <w:pPr>
              <w:spacing w:after="0" w:line="252"/>
            </w:pPr>
            <w:r>
              <w:rPr>
                <w:sz w:val="19"/>
                <w:szCs w:val="19"/>
              </w:rPr>
              <w:t xml:space="preserve">Πληρωμένες Απαιτήσεις ΦΑΡΜΑΚΑ</w:t>
            </w:r>
          </w:p>
        </w:tc>
        <w:tc>
          <w:tcPr>
            <w:tcW w:type="dxa" w:w="1500"/>
            <w:tcMar>
              <w:top w:type="dxa" w:w="60"/>
              <w:left w:type="dxa" w:w="100"/>
              <w:bottom w:type="dxa" w:w="60"/>
              <w:right w:type="dxa" w:w="100"/>
            </w:tcMar>
          </w:tcPr>
          <w:p>
            <w:pPr>
              <w:spacing w:after="0" w:line="252"/>
            </w:pPr>
            <w:r>
              <w:rPr>
                <w:sz w:val="19"/>
                <w:szCs w:val="19"/>
              </w:rPr>
              <w:t xml:space="preserve">Excel, XML, PDF</w:t>
            </w:r>
          </w:p>
        </w:tc>
        <w:tc>
          <w:tcPr>
            <w:tcW w:type="dxa" w:w="2206"/>
            <w:tcMar>
              <w:top w:type="dxa" w:w="60"/>
              <w:left w:type="dxa" w:w="100"/>
              <w:bottom w:type="dxa" w:w="60"/>
              <w:right w:type="dxa" w:w="100"/>
            </w:tcMar>
          </w:tcPr>
          <w:p>
            <w:pPr>
              <w:spacing w:after="0" w:line="252"/>
            </w:pPr>
            <w:r>
              <w:rPr>
                <w:sz w:val="19"/>
                <w:szCs w:val="19"/>
              </w:rPr>
              <w:t xml:space="preserve">Στήλη TYPE</w:t>
            </w:r>
          </w:p>
        </w:tc>
      </w:tr>
      <w:tr>
        <w:tc>
          <w:tcPr>
            <w:tcW w:type="dxa" w:w="620"/>
            <w:tcMar>
              <w:top w:type="dxa" w:w="60"/>
              <w:left w:type="dxa" w:w="100"/>
              <w:bottom w:type="dxa" w:w="60"/>
              <w:right w:type="dxa" w:w="100"/>
            </w:tcMar>
          </w:tcPr>
          <w:p>
            <w:pPr>
              <w:spacing w:after="0" w:line="252"/>
            </w:pPr>
            <w:r>
              <w:rPr>
                <w:sz w:val="19"/>
                <w:szCs w:val="19"/>
              </w:rPr>
              <w:t xml:space="preserve">5</w:t>
            </w:r>
          </w:p>
        </w:tc>
        <w:tc>
          <w:tcPr>
            <w:tcW w:type="dxa" w:w="4700"/>
            <w:tcMar>
              <w:top w:type="dxa" w:w="60"/>
              <w:left w:type="dxa" w:w="100"/>
              <w:bottom w:type="dxa" w:w="60"/>
              <w:right w:type="dxa" w:w="100"/>
            </w:tcMar>
          </w:tcPr>
          <w:p>
            <w:pPr>
              <w:spacing w:after="0" w:line="252"/>
            </w:pPr>
            <w:r>
              <w:rPr>
                <w:sz w:val="19"/>
                <w:szCs w:val="19"/>
              </w:rPr>
              <w:t xml:space="preserve">Αμοιβή Φαρμακοποιού</w:t>
            </w:r>
          </w:p>
        </w:tc>
        <w:tc>
          <w:tcPr>
            <w:tcW w:type="dxa" w:w="1500"/>
            <w:tcMar>
              <w:top w:type="dxa" w:w="60"/>
              <w:left w:type="dxa" w:w="100"/>
              <w:bottom w:type="dxa" w:w="60"/>
              <w:right w:type="dxa" w:w="100"/>
            </w:tcMar>
          </w:tcPr>
          <w:p>
            <w:pPr>
              <w:spacing w:after="0" w:line="252"/>
            </w:pPr>
            <w:r>
              <w:rPr>
                <w:sz w:val="19"/>
                <w:szCs w:val="19"/>
              </w:rPr>
              <w:t xml:space="preserve">PDF</w:t>
            </w:r>
          </w:p>
        </w:tc>
        <w:tc>
          <w:tcPr>
            <w:tcW w:type="dxa" w:w="2206"/>
            <w:tcMar>
              <w:top w:type="dxa" w:w="60"/>
              <w:left w:type="dxa" w:w="100"/>
              <w:bottom w:type="dxa" w:w="60"/>
              <w:right w:type="dxa" w:w="100"/>
            </w:tcMar>
          </w:tcPr>
          <w:p>
            <w:pPr>
              <w:spacing w:after="0" w:line="252"/>
            </w:pPr>
            <w:r>
              <w:rPr>
                <w:sz w:val="19"/>
                <w:szCs w:val="19"/>
              </w:rPr>
              <w:t xml:space="preserve">Συσκευασίες × 1,60 €</w:t>
            </w:r>
          </w:p>
        </w:tc>
      </w:tr>
    </w:tbl>
    <w:p>
      <w:pPr>
        <w:spacing w:after="80" w:line="276"/>
      </w:pPr>
      <w:r>
        <w:t xml:space="preserve"/>
      </w:r>
    </w:p>
    <w:p>
      <w:pPr>
        <w:pStyle w:val="Heading2"/>
        <w:spacing w:after="120" w:before="240"/>
      </w:pPr>
      <w:r>
        <w:rPr>
          <w:b/>
          <w:bCs/>
          <w:color w:val="0072BC"/>
          <w:sz w:val="24"/>
          <w:szCs w:val="24"/>
        </w:rPr>
        <w:t xml:space="preserve">Υπό προϋπόθεση</w:t>
      </w:r>
    </w:p>
    <w:p>
      <w:pPr>
        <w:spacing w:after="140" w:line="276"/>
      </w:pPr>
      <w:r>
        <w:t xml:space="preserve">Χρειάζονται μόνο όταν η επιταγή έχει αντίστοιχη γραμμή: η αναφορά κατά κεφαλήν αμοιβής (capitation), τα Ποιοτικά Κριτήρια μαζί με τις γραμμές MRI και CT, και η μηνιαία αναφορά αιμοκάθαρσης.</w:t>
      </w:r>
    </w:p>
    <w:p>
      <w:pPr>
        <w:pStyle w:val="Heading2"/>
        <w:spacing w:after="120" w:before="240"/>
      </w:pPr>
      <w:r>
        <w:rPr>
          <w:b/>
          <w:bCs/>
          <w:color w:val="0072BC"/>
          <w:sz w:val="24"/>
          <w:szCs w:val="24"/>
        </w:rPr>
        <w:t xml:space="preserve">Προαιρετικά</w:t>
      </w:r>
    </w:p>
    <w:p>
      <w:pPr>
        <w:spacing w:after="140" w:line="276"/>
      </w:pPr>
      <w:r>
        <w:t xml:space="preserve">Το XML activity export, το OKYPY ALL GL extract και το IS Auditor Report δεν μπλοκάρουν ποτέ την εκτέλεση. Όποιο ανεβεί, προσθέτει μία ακόμα διασταύρωση στο βιβλίο.</w:t>
      </w:r>
    </w:p>
    <w:p>
      <w:pPr>
        <w:pBdr>
          <w:left w:val="single" w:color="B45F06" w:sz="18" w:space="8"/>
        </w:pBdr>
        <w:spacing w:after="160" w:before="140" w:line="276"/>
        <w:ind w:left="200"/>
      </w:pPr>
      <w:r>
        <w:rPr>
          <w:i/>
          <w:iCs/>
          <w:color w:val="6B4A10"/>
        </w:rPr>
        <w:t xml:space="preserve">Η αναγνώριση γίνεται από το περιεχόμενο, όχι από το όνομα του αρχείου. Καλό αυτό, γιατί ο ΟΑΥ βαφτίζει «..._OS_...» το αρχείο που κρατά όλα τα segments.</w:t>
      </w:r>
    </w:p>
    <w:p>
      <w:pPr>
        <w:spacing w:after="140" w:line="276"/>
      </w:pPr>
      <w:r>
        <w:t xml:space="preserve">Αν το PDF της επιταγής είναι σκαναρισμένο και δεν διαβάζεται, ανοίξτε τη «Χειροκίνητη επιλογή» και επικολλήστε το κείμενο. Το εργαλείο δεν μαντεύει ποσά σε καμία περίπτωση.</w:t>
      </w:r>
    </w:p>
    <w:p>
      <w:pPr>
        <w:pStyle w:val="Heading1"/>
        <w:spacing w:after="160" w:before="320"/>
      </w:pPr>
      <w:r>
        <w:rPr>
          <w:b/>
          <w:bCs/>
          <w:color w:val="062E5C"/>
          <w:sz w:val="30"/>
          <w:szCs w:val="30"/>
        </w:rPr>
        <w:t xml:space="preserve">4. Όταν δεν έχετε επιταγή</w:t>
      </w:r>
    </w:p>
    <w:p>
      <w:pPr>
        <w:spacing w:after="140" w:line="276"/>
      </w:pPr>
      <w:r>
        <w:t xml:space="preserve">Τσεκάρετε τη «Λειτουργία διασταύρωσης». Παραλείπεται η ταμειακή συμφωνία και ο έλεγχος της επιταγής, και στη θέση τους μπαίνει ο πίνακας αναφορά προς αναφορά: ροές στις γραμμές, αναφορές στις στήλες, με στήλη εύρους. Σε αυτή τη λειτουργία δεν παράγεται αρχείο SAP.</w:t>
      </w:r>
    </w:p>
    <w:p>
      <w:pPr>
        <w:pStyle w:val="Heading1"/>
        <w:spacing w:after="160" w:before="320"/>
      </w:pPr>
      <w:r>
        <w:rPr>
          <w:b/>
          <w:bCs/>
          <w:color w:val="062E5C"/>
          <w:sz w:val="30"/>
          <w:szCs w:val="30"/>
        </w:rPr>
        <w:t xml:space="preserve">5. Τι βγάζει το βιβλίο συμφωνίας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062E5C" w:val="clear"/>
            <w:tcMar>
              <w:top w:type="dxa" w:w="60"/>
              <w:left w:type="dxa" w:w="100"/>
              <w:bottom w:type="dxa" w:w="60"/>
              <w:right w:type="dxa" w:w="100"/>
            </w:tcMar>
          </w:tcPr>
          <w:p>
            <w:pPr>
              <w:spacing w:after="0" w:line="252"/>
            </w:pPr>
            <w:r>
              <w:rPr>
                <w:b/>
                <w:bCs/>
                <w:color w:val="FFFFFF"/>
                <w:sz w:val="19"/>
                <w:szCs w:val="19"/>
              </w:rPr>
              <w:t xml:space="preserve">Φύλλο</w:t>
            </w:r>
          </w:p>
        </w:tc>
        <w:tc>
          <w:tcPr>
            <w:tcW w:type="dxa" w:w="6426"/>
            <w:shd w:fill="062E5C" w:val="clear"/>
            <w:tcMar>
              <w:top w:type="dxa" w:w="60"/>
              <w:left w:type="dxa" w:w="100"/>
              <w:bottom w:type="dxa" w:w="60"/>
              <w:right w:type="dxa" w:w="100"/>
            </w:tcMar>
          </w:tcPr>
          <w:p>
            <w:pPr>
              <w:spacing w:after="0" w:line="252"/>
            </w:pPr>
            <w:r>
              <w:rPr>
                <w:b/>
                <w:bCs/>
                <w:color w:val="FFFFFF"/>
                <w:sz w:val="19"/>
                <w:szCs w:val="19"/>
              </w:rPr>
              <w:t xml:space="preserve">Τι δείχνει</w:t>
            </w:r>
          </w:p>
        </w:tc>
      </w:tr>
      <w:tr>
        <w:tc>
          <w:tcPr>
            <w:tcW w:type="dxa" w:w="2600"/>
            <w:tcMar>
              <w:top w:type="dxa" w:w="60"/>
              <w:left w:type="dxa" w:w="100"/>
              <w:bottom w:type="dxa" w:w="60"/>
              <w:right w:type="dxa" w:w="100"/>
            </w:tcMar>
          </w:tcPr>
          <w:p>
            <w:pPr>
              <w:spacing w:after="0" w:line="252"/>
            </w:pPr>
            <w:r>
              <w:rPr>
                <w:sz w:val="19"/>
                <w:szCs w:val="19"/>
              </w:rPr>
              <w:t xml:space="preserve">SRA_&lt;αρ. επιταγής&gt;</w:t>
            </w:r>
          </w:p>
        </w:tc>
        <w:tc>
          <w:tcPr>
            <w:tcW w:type="dxa" w:w="6426"/>
            <w:tcMar>
              <w:top w:type="dxa" w:w="60"/>
              <w:left w:type="dxa" w:w="100"/>
              <w:bottom w:type="dxa" w:w="60"/>
              <w:right w:type="dxa" w:w="100"/>
            </w:tcMar>
          </w:tcPr>
          <w:p>
            <w:pPr>
              <w:spacing w:after="0" w:line="252"/>
            </w:pPr>
            <w:r>
              <w:rPr>
                <w:sz w:val="19"/>
                <w:szCs w:val="19"/>
              </w:rPr>
              <w:t xml:space="preserve">Κάθε γραμμή της επιταγής με κωδικό, περιγραφή, κανάλι, κάδο, αναφορά τεκμηρίωσης και ποσό. Κάτω κάτω, το σύνολο των γραμμών μείον το δηλωμένο ποσό — που πρέπει να βγαίνει μηδέν.</w:t>
            </w:r>
          </w:p>
        </w:tc>
      </w:tr>
      <w:tr>
        <w:tc>
          <w:tcPr>
            <w:tcW w:type="dxa" w:w="2600"/>
            <w:tcMar>
              <w:top w:type="dxa" w:w="60"/>
              <w:left w:type="dxa" w:w="100"/>
              <w:bottom w:type="dxa" w:w="60"/>
              <w:right w:type="dxa" w:w="100"/>
            </w:tcMar>
          </w:tcPr>
          <w:p>
            <w:pPr>
              <w:spacing w:after="0" w:line="252"/>
            </w:pPr>
            <w:r>
              <w:rPr>
                <w:sz w:val="19"/>
                <w:szCs w:val="19"/>
              </w:rPr>
              <w:t xml:space="preserve">Reconciliation</w:t>
            </w:r>
          </w:p>
        </w:tc>
        <w:tc>
          <w:tcPr>
            <w:tcW w:type="dxa" w:w="6426"/>
            <w:tcMar>
              <w:top w:type="dxa" w:w="60"/>
              <w:left w:type="dxa" w:w="100"/>
              <w:bottom w:type="dxa" w:w="60"/>
              <w:right w:type="dxa" w:w="100"/>
            </w:tcMar>
          </w:tcPr>
          <w:p>
            <w:pPr>
              <w:spacing w:after="0" w:line="252"/>
            </w:pPr>
            <w:r>
              <w:rPr>
                <w:sz w:val="19"/>
                <w:szCs w:val="19"/>
              </w:rPr>
              <w:t xml:space="preserve">Οι τέσσερις κάδοι ως ζωντανά SUMIFS πάνω στο φύλλο της επιταγής, σύνολο και έλεγχος μηδενισμού.</w:t>
            </w:r>
          </w:p>
        </w:tc>
      </w:tr>
      <w:tr>
        <w:tc>
          <w:tcPr>
            <w:tcW w:type="dxa" w:w="2600"/>
            <w:tcMar>
              <w:top w:type="dxa" w:w="60"/>
              <w:left w:type="dxa" w:w="100"/>
              <w:bottom w:type="dxa" w:w="60"/>
              <w:right w:type="dxa" w:w="100"/>
            </w:tcMar>
          </w:tcPr>
          <w:p>
            <w:pPr>
              <w:spacing w:after="0" w:line="252"/>
            </w:pPr>
            <w:r>
              <w:rPr>
                <w:sz w:val="19"/>
                <w:szCs w:val="19"/>
              </w:rPr>
              <w:t xml:space="preserve">Source_crosscheck</w:t>
            </w:r>
          </w:p>
        </w:tc>
        <w:tc>
          <w:tcPr>
            <w:tcW w:type="dxa" w:w="6426"/>
            <w:tcMar>
              <w:top w:type="dxa" w:w="60"/>
              <w:left w:type="dxa" w:w="100"/>
              <w:bottom w:type="dxa" w:w="60"/>
              <w:right w:type="dxa" w:w="100"/>
            </w:tcMar>
          </w:tcPr>
          <w:p>
            <w:pPr>
              <w:spacing w:after="0" w:line="252"/>
            </w:pPr>
            <w:r>
              <w:rPr>
                <w:sz w:val="19"/>
                <w:szCs w:val="19"/>
              </w:rPr>
              <w:t xml:space="preserve">Μία γραμμή ανά έλεγχο: η πηγή απέναντι στην επιταγή, η διαφορά ζωντανή, και το σχόλιο.</w:t>
            </w:r>
          </w:p>
        </w:tc>
      </w:tr>
      <w:tr>
        <w:tc>
          <w:tcPr>
            <w:tcW w:type="dxa" w:w="2600"/>
            <w:tcMar>
              <w:top w:type="dxa" w:w="60"/>
              <w:left w:type="dxa" w:w="100"/>
              <w:bottom w:type="dxa" w:w="60"/>
              <w:right w:type="dxa" w:w="100"/>
            </w:tcMar>
          </w:tcPr>
          <w:p>
            <w:pPr>
              <w:spacing w:after="0" w:line="252"/>
            </w:pPr>
            <w:r>
              <w:rPr>
                <w:sz w:val="19"/>
                <w:szCs w:val="19"/>
              </w:rPr>
              <w:t xml:space="preserve">Απαιτήσεις_vs_SRA</w:t>
            </w:r>
          </w:p>
        </w:tc>
        <w:tc>
          <w:tcPr>
            <w:tcW w:type="dxa" w:w="6426"/>
            <w:tcMar>
              <w:top w:type="dxa" w:w="60"/>
              <w:left w:type="dxa" w:w="100"/>
              <w:bottom w:type="dxa" w:w="60"/>
              <w:right w:type="dxa" w:w="100"/>
            </w:tcMar>
          </w:tcPr>
          <w:p>
            <w:pPr>
              <w:spacing w:after="0" w:line="252"/>
            </w:pPr>
            <w:r>
              <w:rPr>
                <w:sz w:val="19"/>
                <w:szCs w:val="19"/>
              </w:rPr>
              <w:t xml:space="preserve">Συμφωνία του αρχείου «all» και του ΤΑΕΠ (Τμήμα Ατυχημάτων και Επειγόντων Περιστατικών) προς την επιταγή, segment προς segment.</w:t>
            </w:r>
          </w:p>
        </w:tc>
      </w:tr>
      <w:tr>
        <w:tc>
          <w:tcPr>
            <w:tcW w:type="dxa" w:w="2600"/>
            <w:tcMar>
              <w:top w:type="dxa" w:w="60"/>
              <w:left w:type="dxa" w:w="100"/>
              <w:bottom w:type="dxa" w:w="60"/>
              <w:right w:type="dxa" w:w="100"/>
            </w:tcMar>
          </w:tcPr>
          <w:p>
            <w:pPr>
              <w:spacing w:after="0" w:line="252"/>
            </w:pPr>
            <w:r>
              <w:rPr>
                <w:sz w:val="19"/>
                <w:szCs w:val="19"/>
              </w:rPr>
              <w:t xml:space="preserve">By_Clinic_Split</w:t>
            </w:r>
          </w:p>
        </w:tc>
        <w:tc>
          <w:tcPr>
            <w:tcW w:type="dxa" w:w="6426"/>
            <w:tcMar>
              <w:top w:type="dxa" w:w="60"/>
              <w:left w:type="dxa" w:w="100"/>
              <w:bottom w:type="dxa" w:w="60"/>
              <w:right w:type="dxa" w:w="100"/>
            </w:tcMar>
          </w:tcPr>
          <w:p>
            <w:pPr>
              <w:spacing w:after="0" w:line="252"/>
            </w:pPr>
            <w:r>
              <w:rPr>
                <w:sz w:val="19"/>
                <w:szCs w:val="19"/>
              </w:rPr>
              <w:t xml:space="preserve">Ο επιμερισμός που πάει στο SAP: ενδονοσοκομειακά ανά κλινική με τις στήλες Fixed Fee και DRG, ΤΑΕΠ, εξωτερικά ανά ειδικότητα, νοσηλευτές, άλλοι επαγγελματίες, προσωπικοί ιατροί, φάρμακα και προσαρμογές.</w:t>
            </w:r>
          </w:p>
        </w:tc>
      </w:tr>
      <w:tr>
        <w:tc>
          <w:tcPr>
            <w:tcW w:type="dxa" w:w="2600"/>
            <w:tcMar>
              <w:top w:type="dxa" w:w="60"/>
              <w:left w:type="dxa" w:w="100"/>
              <w:bottom w:type="dxa" w:w="60"/>
              <w:right w:type="dxa" w:w="100"/>
            </w:tcMar>
          </w:tcPr>
          <w:p>
            <w:pPr>
              <w:spacing w:after="0" w:line="252"/>
            </w:pPr>
            <w:r>
              <w:rPr>
                <w:sz w:val="19"/>
                <w:szCs w:val="19"/>
              </w:rPr>
              <w:t xml:space="preserve">Ανάλυση_ελέγχων</w:t>
            </w:r>
          </w:p>
        </w:tc>
        <w:tc>
          <w:tcPr>
            <w:tcW w:type="dxa" w:w="6426"/>
            <w:tcMar>
              <w:top w:type="dxa" w:w="60"/>
              <w:left w:type="dxa" w:w="100"/>
              <w:bottom w:type="dxa" w:w="60"/>
              <w:right w:type="dxa" w:w="100"/>
            </w:tcMar>
          </w:tcPr>
          <w:p>
            <w:pPr>
              <w:spacing w:after="0" w:line="252"/>
            </w:pPr>
            <w:r>
              <w:rPr>
                <w:sz w:val="19"/>
                <w:szCs w:val="19"/>
              </w:rPr>
              <w:t xml:space="preserve">Κάθε γραμμή του Source_crosscheck γραμμένη ολόκληρη, με τα συστατικά της κάθε πλευράς και τα υποσύνολα ζωντανά.</w:t>
            </w:r>
          </w:p>
        </w:tc>
      </w:tr>
      <w:tr>
        <w:tc>
          <w:tcPr>
            <w:tcW w:type="dxa" w:w="2600"/>
            <w:tcMar>
              <w:top w:type="dxa" w:w="60"/>
              <w:left w:type="dxa" w:w="100"/>
              <w:bottom w:type="dxa" w:w="60"/>
              <w:right w:type="dxa" w:w="100"/>
            </w:tcMar>
          </w:tcPr>
          <w:p>
            <w:pPr>
              <w:spacing w:after="0" w:line="252"/>
            </w:pPr>
            <w:r>
              <w:rPr>
                <w:sz w:val="19"/>
                <w:szCs w:val="19"/>
              </w:rPr>
              <w:t xml:space="preserve">Legend</w:t>
            </w:r>
          </w:p>
        </w:tc>
        <w:tc>
          <w:tcPr>
            <w:tcW w:type="dxa" w:w="6426"/>
            <w:tcMar>
              <w:top w:type="dxa" w:w="60"/>
              <w:left w:type="dxa" w:w="100"/>
              <w:bottom w:type="dxa" w:w="60"/>
              <w:right w:type="dxa" w:w="100"/>
            </w:tcMar>
          </w:tcPr>
          <w:p>
            <w:pPr>
              <w:spacing w:after="0" w:line="252"/>
            </w:pPr>
            <w:r>
              <w:rPr>
                <w:sz w:val="19"/>
                <w:szCs w:val="19"/>
              </w:rPr>
              <w:t xml:space="preserve">Ο χρωματικός κώδικας και οι σημειώσεις.</w:t>
            </w:r>
          </w:p>
        </w:tc>
      </w:tr>
    </w:tbl>
    <w:p>
      <w:pPr>
        <w:spacing w:after="80" w:line="276"/>
      </w:pPr>
      <w:r>
        <w:t xml:space="preserve"/>
      </w:r>
    </w:p>
    <w:p>
      <w:pPr>
        <w:pStyle w:val="Heading2"/>
        <w:spacing w:after="120" w:before="240"/>
      </w:pPr>
      <w:r>
        <w:rPr>
          <w:b/>
          <w:bCs/>
          <w:color w:val="0072BC"/>
          <w:sz w:val="24"/>
          <w:szCs w:val="24"/>
        </w:rPr>
        <w:t xml:space="preserve">Ο χρωματικός κώδικας</w:t>
      </w:r>
    </w:p>
    <w:p>
      <w:pPr>
        <w:spacing w:after="140" w:line="276"/>
      </w:pPr>
      <w:r>
        <w:t xml:space="preserve">Τα μπλε γράμματα σημαίνουν τιμή που ήρθε από αναφορά πηγής. Τα μαύρα, τύπο. Τα πράσινα, σύνδεση με άλλο φύλλο. Το κίτρινο γέμισμα, κελί ελέγχου που πρέπει να δείχνει μηδέν.</w:t>
      </w:r>
    </w:p>
    <w:p>
      <w:pPr>
        <w:spacing w:after="140" w:line="276"/>
      </w:pPr>
      <w:r>
        <w:t xml:space="preserve">Κάθε υποσύνολο, σύνολο, διαφορά και έλεγχος είναι ζωντανός τύπος. Αλλάξτε ένα μπλε κελί και το βιβλίο ή ξαναδένει ή σας δείχνει πού έσπασε.</w:t>
      </w:r>
    </w:p>
    <w:p>
      <w:pPr>
        <w:pBdr>
          <w:left w:val="single" w:color="B45F06" w:sz="18" w:space="8"/>
        </w:pBdr>
        <w:spacing w:after="160" w:before="140" w:line="276"/>
        <w:ind w:left="200"/>
      </w:pPr>
      <w:r>
        <w:rPr>
          <w:i/>
          <w:iCs/>
          <w:color w:val="6B4A10"/>
        </w:rPr>
        <w:t xml:space="preserve">Καμία διαφορά δεν βουλώνεται. Ανεξήγητη διαφορά είναι εύρημα: βγαίνει με κόκκινο, με τις δύο πλευρές και το χάσμα ανάμεσά τους.</w:t>
      </w:r>
    </w:p>
    <w:p>
      <w:pPr>
        <w:pStyle w:val="Heading1"/>
        <w:spacing w:after="160" w:before="320"/>
      </w:pPr>
      <w:r>
        <w:rPr>
          <w:b/>
          <w:bCs/>
          <w:color w:val="062E5C"/>
          <w:sz w:val="30"/>
          <w:szCs w:val="30"/>
        </w:rPr>
        <w:t xml:space="preserve">6. Οι πέντε έλεγχοι πριν βγει το αρχείο</w:t>
      </w:r>
    </w:p>
    <w:p>
      <w:pPr>
        <w:pStyle w:val="ListParagraph"/>
        <w:numPr>
          <w:ilvl w:val="0"/>
          <w:numId w:val="3"/>
        </w:numPr>
        <w:spacing w:after="80" w:line="276"/>
      </w:pPr>
      <w:r>
        <w:t xml:space="preserve">Όλα τα αρχεία διαβάζονται και καθένα αντιστοιχεί σε ένα μόνο είδος αναφοράς.</w:t>
      </w:r>
    </w:p>
    <w:p>
      <w:pPr>
        <w:pStyle w:val="ListParagraph"/>
        <w:numPr>
          <w:ilvl w:val="0"/>
          <w:numId w:val="3"/>
        </w:numPr>
        <w:spacing w:after="80" w:line="276"/>
      </w:pPr>
      <w:r>
        <w:t xml:space="preserve">Ένα νοσοκομείο, ένας μήνας σε όλη την παρτίδα.</w:t>
      </w:r>
    </w:p>
    <w:p>
      <w:pPr>
        <w:pStyle w:val="ListParagraph"/>
        <w:numPr>
          <w:ilvl w:val="0"/>
          <w:numId w:val="3"/>
        </w:numPr>
        <w:spacing w:after="80" w:line="276"/>
      </w:pPr>
      <w:r>
        <w:t xml:space="preserve">Το απαραίτητο σετ είναι πλήρες, ή έχετε τσεκάρει τη λειτουργία διασταύρωσης.</w:t>
      </w:r>
    </w:p>
    <w:p>
      <w:pPr>
        <w:pStyle w:val="ListParagraph"/>
        <w:numPr>
          <w:ilvl w:val="0"/>
          <w:numId w:val="3"/>
        </w:numPr>
        <w:spacing w:after="80" w:line="276"/>
      </w:pPr>
      <w:r>
        <w:t xml:space="preserve">Δένουν οι εσωτερικές ισότητες: το σύνολο των ενδονοσοκομειακών με το άθροισμα των γραμμών του, το Inpatient του αρχείου «all» με το ίδιο σύνολο, και οι γραμμές της επιταγής με το δηλωμένο ποσό.</w:t>
      </w:r>
    </w:p>
    <w:p>
      <w:pPr>
        <w:pStyle w:val="ListParagraph"/>
        <w:numPr>
          <w:ilvl w:val="0"/>
          <w:numId w:val="3"/>
        </w:numPr>
        <w:spacing w:after="80" w:line="276"/>
      </w:pPr>
      <w:r>
        <w:t xml:space="preserve">Το βιβλίο ξανανοίγει μόλις χτιστεί και κάθε κελί ελέγχου ξαναϋπολογίζεται. Όλα πρέπει να δείχνουν μηδέν.</w:t>
      </w:r>
    </w:p>
    <w:p>
      <w:pPr>
        <w:spacing w:after="140" w:line="276"/>
      </w:pPr>
      <w:r>
        <w:t xml:space="preserve">Οι γνωστές αποκλίσεις σχολιάζονται αυτόματα: το Z-catalogue που στο GL βγαίνει χαμηλότερο, οι απαιτήσεις φαρμάκων που ο ΟΑΥ πληρώνει ψηλότερα από το GL λόγω γενοσήμων, εκπτώσεων και συμμετοχών, η αμοιβή φαρμακοποιού που στο GL κάθεται σταθερή ενώ η αναφορά δίνει συσκευασίες επί 1,60. Σχολιάζονται όμως, δεν κρύβονται.</w:t>
      </w:r>
    </w:p>
    <w:p>
      <w:pPr>
        <w:pStyle w:val="Heading1"/>
        <w:spacing w:after="160" w:before="320"/>
      </w:pPr>
      <w:r>
        <w:rPr>
          <w:b/>
          <w:bCs/>
          <w:color w:val="062E5C"/>
          <w:sz w:val="30"/>
          <w:szCs w:val="30"/>
        </w:rPr>
        <w:t xml:space="preserve">7. Λογιστικό σχέδιο και κέντρα κόστους</w:t>
      </w:r>
    </w:p>
    <w:p>
      <w:pPr>
        <w:spacing w:after="140" w:line="276"/>
      </w:pPr>
      <w:r>
        <w:t xml:space="preserve">Οι εταιρείες, τα κέντρα κόστους και το λογιστικό σχέδιο είναι ήδη μέσα στο εργαλείο. Δεν χρειάζεται να τα ανεβάζετε κάθε μήνα· στη σύνοψη κάθε εκτέλεσης γράφει ποια έκδοση απάντησε.</w:t>
      </w:r>
    </w:p>
    <w:p>
      <w:pPr>
        <w:pStyle w:val="Heading2"/>
        <w:spacing w:after="120" w:before="240"/>
      </w:pPr>
      <w:r>
        <w:rPr>
          <w:b/>
          <w:bCs/>
          <w:color w:val="0072BC"/>
          <w:sz w:val="24"/>
          <w:szCs w:val="24"/>
        </w:rPr>
        <w:t xml:space="preserve">Πώς ενημερώνεται</w:t>
      </w:r>
    </w:p>
    <w:p>
      <w:pPr>
        <w:spacing w:after="140" w:line="276"/>
      </w:pPr>
      <w:r>
        <w:t xml:space="preserve">Όταν το Λογιστήριο εκδώσει νέο Chart_of_accounts.XLSX έχετε δύο δρόμους.</w:t>
      </w:r>
    </w:p>
    <w:p>
      <w:pPr>
        <w:pStyle w:val="ListParagraph"/>
        <w:numPr>
          <w:ilvl w:val="0"/>
          <w:numId w:val="2"/>
        </w:numPr>
        <w:spacing w:after="80" w:line="276"/>
      </w:pPr>
      <w:r>
        <w:t xml:space="preserve">Για μία εκτέλεση: ανεβάστε το μαζί με τα αρχεία του μήνα. Το ανεβασμένο αρχείο υπερισχύει πάντα του ενσωματωμένου.</w:t>
      </w:r>
    </w:p>
    <w:p>
      <w:pPr>
        <w:pStyle w:val="ListParagraph"/>
        <w:numPr>
          <w:ilvl w:val="0"/>
          <w:numId w:val="2"/>
        </w:numPr>
        <w:spacing w:after="80" w:line="276"/>
      </w:pPr>
      <w:r>
        <w:t xml:space="preserve">Μόνιμα: τρέξτε στο αποθετήριο τις δύο εντολές που ακολουθούν και μοιράστε το νέο okypy-recon.html. Το δεύτερο όρισμα είναι η σήμανση έκδοσης που θα βλέπετε στην οθόνη.</w:t>
      </w:r>
    </w:p>
    <w:p>
      <w:pPr>
        <w:shd w:fill="F2F5F8" w:val="clear"/>
        <w:spacing w:after="60" w:before="60"/>
        <w:ind w:left="240"/>
      </w:pPr>
      <w:r>
        <w:rPr>
          <w:rFonts w:ascii="Consolas" w:cs="Consolas" w:eastAsia="Consolas" w:hAnsi="Consolas"/>
          <w:color w:val="062E5C"/>
          <w:sz w:val="19"/>
          <w:szCs w:val="19"/>
        </w:rPr>
        <w:t xml:space="preserve">python tools/embed_sap_master.py &lt;διαδρομή&gt;/Chart_of_accounts.XLSX 2027-01</w:t>
      </w:r>
    </w:p>
    <w:p>
      <w:pPr>
        <w:shd w:fill="F2F5F8" w:val="clear"/>
        <w:spacing w:after="60" w:before="60"/>
        <w:ind w:left="240"/>
      </w:pPr>
      <w:r>
        <w:rPr>
          <w:rFonts w:ascii="Consolas" w:cs="Consolas" w:eastAsia="Consolas" w:hAnsi="Consolas"/>
          <w:color w:val="062E5C"/>
          <w:sz w:val="19"/>
          <w:szCs w:val="19"/>
        </w:rPr>
        <w:t xml:space="preserve">python webapp/build_single.py</w:t>
      </w:r>
    </w:p>
    <w:p>
      <w:pPr>
        <w:spacing w:after="140" w:line="276"/>
      </w:pPr>
      <w:r>
        <w:t xml:space="preserve">Το αρχείο αναμένεται με τα φύλλα «Company Codes», «Cost centers» και «Chart of accounts». Το φύλλο «SAP GL AC - COM ITEM» αγνοείται, γι’ αυτό και οι στήλες BSEG-FIPOS, GEBER και FISTL του ημερολογίου μένουν κενές.</w:t>
      </w:r>
    </w:p>
    <w:p>
      <w:pPr>
        <w:pStyle w:val="Heading2"/>
        <w:spacing w:after="120" w:before="240"/>
      </w:pPr>
      <w:r>
        <w:rPr>
          <w:b/>
          <w:bCs/>
          <w:color w:val="0072BC"/>
          <w:sz w:val="24"/>
          <w:szCs w:val="24"/>
        </w:rPr>
        <w:t xml:space="preserve">Πώς επιλέγεται το κέντρο κόστους</w:t>
      </w:r>
    </w:p>
    <w:p>
      <w:pPr>
        <w:spacing w:after="140" w:line="276"/>
      </w:pPr>
      <w:r>
        <w:t xml:space="preserve">Η αγγλική ειδικότητα του ΟΑΥ αντιστοιχεί πρώτα σε ελληνικό θέμα ονόματος, για παράδειγμα RENAL DISEASES σε ΝΕΦΡΟΛΟΓΙΚ, και μετά στη μορφή που ταιριάζει στη ροή: ΘΑΛ για τα ενδονοσοκομειακά, ΗΦ για την ημερήσια φροντίδα, ΕΙ για τα εξωτερικά ιατρεία, ΓΕΝΙΚΑ για τα υπόλοιπα. Όπου δεν υπάρχει ΗΦ, η ημερήσια φροντίδα πέφτει στο ΕΙ.</w:t>
      </w:r>
    </w:p>
    <w:p>
      <w:pPr>
        <w:spacing w:after="140" w:line="276"/>
      </w:pPr>
      <w:r>
        <w:t xml:space="preserve">Γραμμή που δεν αντιστοιχείται μονοσήμαντα μένει κενή και εμφανίζεται στο φύλλο Έλεγχος_SAP με τον λόγο. Το εργαλείο δεν επινοεί κωδικό.</w:t>
      </w:r>
    </w:p>
    <w:p>
      <w:pPr>
        <w:pStyle w:val="Heading1"/>
        <w:spacing w:after="160" w:before="320"/>
      </w:pPr>
      <w:r>
        <w:rPr>
          <w:b/>
          <w:bCs/>
          <w:color w:val="062E5C"/>
          <w:sz w:val="30"/>
          <w:szCs w:val="30"/>
        </w:rPr>
        <w:t xml:space="preserve">8. Ανέβασμα των εγγραφών στο SAP</w:t>
      </w:r>
    </w:p>
    <w:p>
      <w:pPr>
        <w:spacing w:after="140" w:line="276"/>
      </w:pPr>
      <w:r>
        <w:t xml:space="preserve">Το αρχείο εγγραφών έχει τρία φύλλα.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062E5C" w:val="clear"/>
            <w:tcMar>
              <w:top w:type="dxa" w:w="60"/>
              <w:left w:type="dxa" w:w="100"/>
              <w:bottom w:type="dxa" w:w="60"/>
              <w:right w:type="dxa" w:w="100"/>
            </w:tcMar>
          </w:tcPr>
          <w:p>
            <w:pPr>
              <w:spacing w:after="0" w:line="252"/>
            </w:pPr>
            <w:r>
              <w:rPr>
                <w:b/>
                <w:bCs/>
                <w:color w:val="FFFFFF"/>
                <w:sz w:val="19"/>
                <w:szCs w:val="19"/>
              </w:rPr>
              <w:t xml:space="preserve">Φύλλο</w:t>
            </w:r>
          </w:p>
        </w:tc>
        <w:tc>
          <w:tcPr>
            <w:tcW w:type="dxa" w:w="6826"/>
            <w:shd w:fill="062E5C" w:val="clear"/>
            <w:tcMar>
              <w:top w:type="dxa" w:w="60"/>
              <w:left w:type="dxa" w:w="100"/>
              <w:bottom w:type="dxa" w:w="60"/>
              <w:right w:type="dxa" w:w="100"/>
            </w:tcMar>
          </w:tcPr>
          <w:p>
            <w:pPr>
              <w:spacing w:after="0" w:line="252"/>
            </w:pPr>
            <w:r>
              <w:rPr>
                <w:b/>
                <w:bCs/>
                <w:color w:val="FFFFFF"/>
                <w:sz w:val="19"/>
                <w:szCs w:val="19"/>
              </w:rPr>
              <w:t xml:space="preserve">Τι είναι</w:t>
            </w:r>
          </w:p>
        </w:tc>
      </w:tr>
      <w:tr>
        <w:tc>
          <w:tcPr>
            <w:tcW w:type="dxa" w:w="2200"/>
            <w:tcMar>
              <w:top w:type="dxa" w:w="60"/>
              <w:left w:type="dxa" w:w="100"/>
              <w:bottom w:type="dxa" w:w="60"/>
              <w:right w:type="dxa" w:w="100"/>
            </w:tcMar>
          </w:tcPr>
          <w:p>
            <w:pPr>
              <w:spacing w:after="0" w:line="252"/>
            </w:pPr>
            <w:r>
              <w:rPr>
                <w:sz w:val="19"/>
                <w:szCs w:val="19"/>
              </w:rPr>
              <w:t xml:space="preserve">JOURNAL ENTRIES</w:t>
            </w:r>
          </w:p>
        </w:tc>
        <w:tc>
          <w:tcPr>
            <w:tcW w:type="dxa" w:w="6826"/>
            <w:tcMar>
              <w:top w:type="dxa" w:w="60"/>
              <w:left w:type="dxa" w:w="100"/>
              <w:bottom w:type="dxa" w:w="60"/>
              <w:right w:type="dxa" w:w="100"/>
            </w:tcMar>
          </w:tcPr>
          <w:p>
            <w:pPr>
              <w:spacing w:after="0" w:line="252"/>
            </w:pPr>
            <w:r>
              <w:rPr>
                <w:sz w:val="19"/>
                <w:szCs w:val="19"/>
              </w:rPr>
              <w:t xml:space="preserve">Οι εγγραφές. Οι γραμμές 1 έως 3 είναι επικεφαλίδες και η γραμμή 3 φέρει τα ονόματα των πεδίων BKPF και BSEG· τα δεδομένα ξεκινούν στη γραμμή 4. Οι στήλες A έως W είναι πεδία SAP, ενώ οι X και Y είναι βοηθητικές του ΟΚΥπΥ και δεν ανεβαίνουν.</w:t>
            </w:r>
          </w:p>
        </w:tc>
      </w:tr>
      <w:tr>
        <w:tc>
          <w:tcPr>
            <w:tcW w:type="dxa" w:w="2200"/>
            <w:tcMar>
              <w:top w:type="dxa" w:w="60"/>
              <w:left w:type="dxa" w:w="100"/>
              <w:bottom w:type="dxa" w:w="60"/>
              <w:right w:type="dxa" w:w="100"/>
            </w:tcMar>
          </w:tcPr>
          <w:p>
            <w:pPr>
              <w:spacing w:after="0" w:line="252"/>
            </w:pPr>
            <w:r>
              <w:rPr>
                <w:sz w:val="19"/>
                <w:szCs w:val="19"/>
              </w:rPr>
              <w:t xml:space="preserve">Έλεγχος_SAP</w:t>
            </w:r>
          </w:p>
        </w:tc>
        <w:tc>
          <w:tcPr>
            <w:tcW w:type="dxa" w:w="6826"/>
            <w:tcMar>
              <w:top w:type="dxa" w:w="60"/>
              <w:left w:type="dxa" w:w="100"/>
              <w:bottom w:type="dxa" w:w="60"/>
              <w:right w:type="dxa" w:w="100"/>
            </w:tcMar>
          </w:tcPr>
          <w:p>
            <w:pPr>
              <w:spacing w:after="0" w:line="252"/>
            </w:pPr>
            <w:r>
              <w:rPr>
                <w:sz w:val="19"/>
                <w:szCs w:val="19"/>
              </w:rPr>
              <w:t xml:space="preserve">Χρέωση ίση με πίστωση ίση με την επιταγή, και κάθε γραμμή χωρίς κέντρο κόστους μαζί με τον λόγο της.</w:t>
            </w:r>
          </w:p>
        </w:tc>
      </w:tr>
      <w:tr>
        <w:tc>
          <w:tcPr>
            <w:tcW w:type="dxa" w:w="2200"/>
            <w:tcMar>
              <w:top w:type="dxa" w:w="60"/>
              <w:left w:type="dxa" w:w="100"/>
              <w:bottom w:type="dxa" w:w="60"/>
              <w:right w:type="dxa" w:w="100"/>
            </w:tcMar>
          </w:tcPr>
          <w:p>
            <w:pPr>
              <w:spacing w:after="0" w:line="252"/>
            </w:pPr>
            <w:r>
              <w:rPr>
                <w:sz w:val="19"/>
                <w:szCs w:val="19"/>
              </w:rPr>
              <w:t xml:space="preserve">Οδηγίες_SAP</w:t>
            </w:r>
          </w:p>
        </w:tc>
        <w:tc>
          <w:tcPr>
            <w:tcW w:type="dxa" w:w="6826"/>
            <w:tcMar>
              <w:top w:type="dxa" w:w="60"/>
              <w:left w:type="dxa" w:w="100"/>
              <w:bottom w:type="dxa" w:w="60"/>
              <w:right w:type="dxa" w:w="100"/>
            </w:tcMar>
          </w:tcPr>
          <w:p>
            <w:pPr>
              <w:spacing w:after="0" w:line="252"/>
            </w:pPr>
            <w:r>
              <w:rPr>
                <w:sz w:val="19"/>
                <w:szCs w:val="19"/>
              </w:rPr>
              <w:t xml:space="preserve">Τα ίδια βήματα που ακολουθούν, μέσα στο ίδιο το αρχείο.</w:t>
            </w:r>
          </w:p>
        </w:tc>
      </w:tr>
    </w:tbl>
    <w:p>
      <w:pPr>
        <w:spacing w:after="80" w:line="276"/>
      </w:pPr>
      <w:r>
        <w:t xml:space="preserve"/>
      </w:r>
    </w:p>
    <w:p>
      <w:pPr>
        <w:pStyle w:val="Heading2"/>
        <w:spacing w:after="120" w:before="240"/>
      </w:pPr>
      <w:r>
        <w:rPr>
          <w:b/>
          <w:bCs/>
          <w:color w:val="0072BC"/>
          <w:sz w:val="24"/>
          <w:szCs w:val="24"/>
        </w:rPr>
        <w:t xml:space="preserve">Η διαδικασία</w:t>
      </w:r>
    </w:p>
    <w:p>
      <w:pPr>
        <w:pStyle w:val="ListParagraph"/>
        <w:numPr>
          <w:ilvl w:val="0"/>
          <w:numId w:val="3"/>
        </w:numPr>
        <w:spacing w:after="80" w:line="276"/>
      </w:pPr>
      <w:r>
        <w:t xml:space="preserve">Πριν από οτιδήποτε άλλο ανοίξτε το φύλλο Έλεγχος_SAP. Κάθε κελί ελέγχου πρέπει να δείχνει μηδέν και καμία γραμμή με ποσό δεν πρέπει να είναι χωρίς κέντρο κόστους. Αν βρείτε τέτοια, διορθώστε πρώτα την αιτία — συνήθως λείπει κέντρο κόστους από το λογιστικό σχέδιο.</w:t>
      </w:r>
    </w:p>
    <w:p>
      <w:pPr>
        <w:pStyle w:val="ListParagraph"/>
        <w:numPr>
          <w:ilvl w:val="0"/>
          <w:numId w:val="3"/>
        </w:numPr>
        <w:spacing w:after="80" w:line="276"/>
      </w:pPr>
      <w:r>
        <w:t xml:space="preserve">Συνδεθείτε στο SAP και τρέξτε την έκθεση ZSHSO_FI_POST_UPL_V1, μέσω SA38 ή SE38 ή με τον κωδικό συναλλαγής που σας έχει δοθεί.</w:t>
      </w:r>
    </w:p>
    <w:p>
      <w:pPr>
        <w:pStyle w:val="ListParagraph"/>
        <w:numPr>
          <w:ilvl w:val="0"/>
          <w:numId w:val="3"/>
        </w:numPr>
        <w:spacing w:after="80" w:line="276"/>
      </w:pPr>
      <w:r>
        <w:t xml:space="preserve">Στην οθόνη επιλογής δώστε τη διαδρομή του αρχείου, το φύλλο JOURNAL ENTRIES και πρώτη γραμμή δεδομένων τη 4.</w:t>
      </w:r>
    </w:p>
    <w:p>
      <w:pPr>
        <w:pStyle w:val="ListParagraph"/>
        <w:numPr>
          <w:ilvl w:val="0"/>
          <w:numId w:val="3"/>
        </w:numPr>
        <w:spacing w:after="80" w:line="276"/>
      </w:pPr>
      <w:r>
        <w:t xml:space="preserve">Τρέξτε πρώτα σε δοκιμαστική εκτέλεση και διαβάστε το log. Κάθε γραμμή πρέπει να περνά. Τα συνηθισμένα σφάλματα είναι κλειστή λογιστική περίοδος, μπλοκαρισμένος λογαριασμός ή κέντρο κόστους, κέντρο κόστους που ανήκει σε άλλη εταιρεία, ή απαίτηση για πεδία Funds Management.</w:t>
      </w:r>
    </w:p>
    <w:p>
      <w:pPr>
        <w:pStyle w:val="ListParagraph"/>
        <w:numPr>
          <w:ilvl w:val="0"/>
          <w:numId w:val="3"/>
        </w:numPr>
        <w:spacing w:after="80" w:line="276"/>
      </w:pPr>
      <w:r>
        <w:t xml:space="preserve">Ξανατρέξτε χωρίς τη σήμανση δοκιμής και κρατήστε τους αριθμούς παραστατικών που επιστρέφει.</w:t>
      </w:r>
    </w:p>
    <w:p>
      <w:pPr>
        <w:pStyle w:val="ListParagraph"/>
        <w:numPr>
          <w:ilvl w:val="0"/>
          <w:numId w:val="3"/>
        </w:numPr>
        <w:spacing w:after="80" w:line="276"/>
      </w:pPr>
      <w:r>
        <w:t xml:space="preserve">Επαληθεύστε σε FB03 ή FAGLL03 ότι το σύνολο του παραστατικού ισούται με το ποσό της επιταγής.</w:t>
      </w:r>
    </w:p>
    <w:p>
      <w:pPr>
        <w:pStyle w:val="ListParagraph"/>
        <w:numPr>
          <w:ilvl w:val="0"/>
          <w:numId w:val="3"/>
        </w:numPr>
        <w:spacing w:after="80" w:line="276"/>
      </w:pPr>
      <w:r>
        <w:t xml:space="preserve">Αρχειοθετήστε μαζί το βιβλίο συμφωνίας, το αρχείο SAP και τους αριθμούς των παραστατικών.</w:t>
      </w:r>
    </w:p>
    <w:p>
      <w:pPr>
        <w:pBdr>
          <w:left w:val="single" w:color="B45F06" w:sz="18" w:space="8"/>
        </w:pBdr>
        <w:spacing w:after="160" w:before="140" w:line="276"/>
        <w:ind w:left="200"/>
      </w:pPr>
      <w:r>
        <w:rPr>
          <w:i/>
          <w:iCs/>
          <w:color w:val="6B4A10"/>
        </w:rPr>
        <w:t xml:space="preserve">Τα βήματα 2 και 3 εξαρτώνται από τη ρύθμιση της έκθεσης στο δικό μας σύστημα: κωδικός συναλλαγής, μορφή αρχείου που δέχεται, ονόματα παραμέτρων. Επιβεβαιώστε τα μία φορά με την ομάδα SAP και σημειώστε τα εδώ. Αν η έκθεση ζητά επίπεδο αρχείο αντί για Excel, αποθηκεύστε το φύλλο JOURNAL ENTRIES ως Text (Tab delimited), αφού πρώτα διαγράψετε τις στήλες X και Y.</w:t>
      </w:r>
    </w:p>
    <w:p>
      <w:pPr>
        <w:pStyle w:val="Heading1"/>
        <w:spacing w:after="160" w:before="320"/>
      </w:pPr>
      <w:r>
        <w:rPr>
          <w:b/>
          <w:bCs/>
          <w:color w:val="062E5C"/>
          <w:sz w:val="30"/>
          <w:szCs w:val="30"/>
        </w:rPr>
        <w:t xml:space="preserve">9. Τι να προσέξετε</w:t>
      </w:r>
    </w:p>
    <w:p>
      <w:pPr>
        <w:pStyle w:val="ListParagraph"/>
        <w:numPr>
          <w:ilvl w:val="0"/>
          <w:numId w:val="2"/>
        </w:numPr>
        <w:spacing w:after="80" w:line="276"/>
      </w:pPr>
      <w:r>
        <w:t xml:space="preserve">Σκαναρισμένη επιταγή: επικολλήστε το κείμενο στη Χειροκίνητη επιλογή και αφαιρέστε από τη λίστα το αρχείο που δεν αναγνωρίστηκε.</w:t>
      </w:r>
    </w:p>
    <w:p>
      <w:pPr>
        <w:pStyle w:val="ListParagraph"/>
        <w:numPr>
          <w:ilvl w:val="0"/>
          <w:numId w:val="2"/>
        </w:numPr>
        <w:spacing w:after="80" w:line="276"/>
      </w:pPr>
      <w:r>
        <w:t xml:space="preserve">Μικτή παρτίδα: δύο νοσοκομεία ή δύο μήνες μαζί σταματούν την εκτέλεση. Χωρίστε τα αρχεία και τρέξτε δύο φορές.</w:t>
      </w:r>
    </w:p>
    <w:p>
      <w:pPr>
        <w:pStyle w:val="ListParagraph"/>
        <w:numPr>
          <w:ilvl w:val="0"/>
          <w:numId w:val="2"/>
        </w:numPr>
        <w:spacing w:after="80" w:line="276"/>
      </w:pPr>
      <w:r>
        <w:t xml:space="preserve">Γραμμή με ποσό αλλά χωρίς κέντρο κόστους: μη την αγνοήσετε. Δείτε τον λόγο στο Έλεγχος_SAP, συμπληρώστε το κέντρο στο λογιστικό σχέδιο και ξανατρέξτε.</w:t>
      </w:r>
    </w:p>
    <w:p>
      <w:pPr>
        <w:pStyle w:val="ListParagraph"/>
        <w:numPr>
          <w:ilvl w:val="0"/>
          <w:numId w:val="2"/>
        </w:numPr>
        <w:spacing w:after="80" w:line="276"/>
      </w:pPr>
      <w:r>
        <w:t xml:space="preserve">Κενές στήλες FIPOS, GEBER και FISTL: είναι σκόπιμο. Αν το σύστημα τις απαιτεί, συμπληρώνονται από το φύλλο «SAP GL AC - COM ITEM» πριν την ανάρτηση.</w:t>
      </w:r>
    </w:p>
    <w:p>
      <w:pPr>
        <w:pStyle w:val="Heading1"/>
        <w:spacing w:after="160" w:before="320"/>
      </w:pPr>
      <w:r>
        <w:rPr>
          <w:b/>
          <w:bCs/>
          <w:color w:val="062E5C"/>
          <w:sz w:val="30"/>
          <w:szCs w:val="30"/>
        </w:rPr>
        <w:t xml:space="preserve">10. Εμπιστευτικότητα</w:t>
      </w:r>
    </w:p>
    <w:p>
      <w:pPr>
        <w:spacing w:after="140" w:line="276"/>
      </w:pPr>
      <w:r>
        <w:t xml:space="preserve">Τα αρχεία του ΟΑΥ είναι εμπιστευτικά και δεν ανεβαίνουν ποτέ στο αποθετήριο του κώδικα. Το εργαλείο δεν κάνει καμία εξερχόμενη κλήση, δεν γράφει προσωρινά αρχεία και δεν κρατά τίποτα μετά το κλείσιμο της σελίδας.</w:t>
      </w:r>
    </w:p>
    <w:p>
      <w:pPr>
        <w:spacing w:after="200" w:line="276"/>
      </w:pPr>
      <w:r>
        <w:t xml:space="preserve">Το εργαλείο υπάρχει σε δύο εκδόσεις με την ίδια ακριβώς λογική: το αυτόνομο okypy-recon.html, που ανοίγει με διπλό κλικ, και η έκδοση που τρέχει στον εσωτερικό server με streamlit run app.py.</w:t>
      </w:r>
    </w:p>
    <w:p>
      <w:pPr>
        <w:spacing w:after="140" w:line="276"/>
      </w:pPr>
      <w:r>
        <w:rPr>
          <w:i/>
          <w:iCs/>
          <w:color w:val="595959"/>
          <w:sz w:val="18"/>
          <w:szCs w:val="18"/>
        </w:rPr>
        <w:t xml:space="preserve">Το πλήρες κείμενο των οδηγιών υπάρχει και μέσα στην εφαρμογή, στο πλαίσιο «Εγχειρίδιο χρήσης».</w:t>
      </w:r>
    </w:p>
    <w:sectPr>
      <w:footerReference w:type="default" r:id="rId7"/>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95959"/>
        <w:sz w:val="16"/>
        <w:szCs w:val="16"/>
      </w:rPr>
      <w:t xml:space="preserve">ΟΚΥπΥ — Συμφωνία Πληρωμών ΟΑΥ · σελ. </w:t>
      <w:fldChar w:fldCharType="begin"/>
      <w:instrText xml:space="preserve">PAGE</w:instrText>
      <w:fldChar w:fldCharType="separate"/>
      <w:fldChar w:fldCharType="end"/>
      <w:t xml:space="preserve"> από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abstractNum w:abstractNumId="3" w15:restartNumberingAfterBreak="0">
    <w:multiLevelType w:val="hybridMultilevel"/>
    <w:lvl w:ilvl="0" w15:tentative="1">
      <w:start w:val="1"/>
      <w:numFmt w:val="decimal"/>
      <w:lvlText w:val="%1."/>
      <w:lvlJc w:val="start"/>
      <w:pPr>
        <w:ind w:left="4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Συμφωνία Πληρωμών ΟΑΥ — Οδηγίες χρήσης</dc:title>
  <dc:creator>ΟΚΥπΥ — Διεύθυνση Οικονομικών Υπηρεσιών</dc:creator>
  <cp:lastModifiedBy>Un-named</cp:lastModifiedBy>
  <cp:revision>1</cp:revision>
  <dcterms:created xsi:type="dcterms:W3CDTF">2026-09-17T06:02:56.596Z</dcterms:created>
  <dcterms:modified xsi:type="dcterms:W3CDTF">2026-09-17T06:02:56.596Z</dcterms:modified>
</cp:coreProperties>
</file>

<file path=docProps/custom.xml><?xml version="1.0" encoding="utf-8"?>
<Properties xmlns="http://schemas.openxmlformats.org/officeDocument/2006/custom-properties" xmlns:vt="http://schemas.openxmlformats.org/officeDocument/2006/docPropsVTypes"/>
</file>