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0"/>
        </w:rPr>
        <w:t>Κοστολόγηση Περιστατικών ΤΑ.ΕΠ. — μη δικαιούχοι ΓεΣΥ</w:t>
      </w:r>
    </w:p>
    <w:p>
      <w:r>
        <w:rPr>
          <w:b/>
          <w:color w:val="1F3864"/>
          <w:sz w:val="26"/>
        </w:rPr>
        <w:t>Σενάρια Αποδοχής</w:t>
      </w:r>
    </w:p>
    <w:p>
      <w:r>
        <w:rPr>
          <w:b/>
        </w:rPr>
        <w:t xml:space="preserve">Ημερομηνία εκτέλεσης: </w:t>
      </w:r>
      <w:r>
        <w:t>21/10/2026 12:08</w:t>
        <w:br/>
      </w:r>
      <w:r>
        <w:rPr>
          <w:b/>
        </w:rPr>
        <w:t xml:space="preserve">Σενάρια: </w:t>
      </w:r>
      <w:r>
        <w:t>28 — επιτυχία 28, αποτυχία 0</w:t>
        <w:br/>
      </w:r>
      <w:r>
        <w:rPr>
          <w:b/>
        </w:rPr>
        <w:t xml:space="preserve">Έλεγχοι: </w:t>
      </w:r>
      <w:r>
        <w:t>105</w:t>
        <w:br/>
      </w:r>
      <w:r>
        <w:rPr>
          <w:b/>
        </w:rPr>
        <w:t xml:space="preserve">Έκδοση αλγορίθμου: </w:t>
      </w:r>
      <w:r>
        <w:t>1.0.0</w:t>
        <w:br/>
      </w:r>
      <w:r>
        <w:rPr>
          <w:b/>
        </w:rPr>
        <w:t xml:space="preserve">Παράγεται από: </w:t>
      </w:r>
      <w:r>
        <w:t>tools/make_acceptance_document.py</w:t>
      </w:r>
    </w:p>
    <w:p>
      <w:pPr>
        <w:jc w:val="both"/>
      </w:pPr>
      <w:r>
        <w:t>Το παρόν δεν συντάχθηκε με το χέρι. Κάθε σενάριο είναι εκτελέσιμος κώδικας στο acceptance.py και εκτελέστηκε πραγματικά, πάνω σε βάση δεδομένων με το σχήμα και τα δεδομένα του συστήματος και πάνω στις πραγματικές οθόνες. Το αποτέλεσμα κάθε ελέγχου παρακάτω είναι αυτό που παρήγαγε η εκτέλεση. Σενάριο που αποτυγχάνει εμφανίζεται ως αποτυχία, με το σφάλμα του.</w:t>
      </w:r>
    </w:p>
    <w:p/>
    <w:p>
      <w:r>
        <w:rPr>
          <w:b/>
          <w:color w:val="1F3864"/>
          <w:sz w:val="24"/>
        </w:rPr>
        <w:t>Σύνοψη</w:t>
      </w:r>
    </w:p>
    <w:tbl>
      <w:tblPr>
        <w:tblStyle w:val="TableGrid"/>
        <w:tblW w:type="auto" w:w="0"/>
        <w:tblLook w:firstColumn="1" w:firstRow="1" w:lastColumn="0" w:lastRow="0" w:noHBand="0" w:noVBand="1" w:val="04A0"/>
      </w:tblPr>
      <w:tblGrid>
        <w:gridCol w:w="2493"/>
        <w:gridCol w:w="2493"/>
        <w:gridCol w:w="2493"/>
        <w:gridCol w:w="2493"/>
      </w:tblGrid>
      <w:tr>
        <w:tc>
          <w:tcPr>
            <w:tcW w:type="dxa" w:w="907"/>
          </w:tcPr>
          <w:p>
            <w:r/>
            <w:r>
              <w:rPr>
                <w:b/>
              </w:rPr>
              <w:t>Κωδ.</w:t>
            </w:r>
          </w:p>
        </w:tc>
        <w:tc>
          <w:tcPr>
            <w:tcW w:type="dxa" w:w="5102"/>
          </w:tcPr>
          <w:p>
            <w:r/>
            <w:r>
              <w:rPr>
                <w:b/>
              </w:rPr>
              <w:t>Σενάριο</w:t>
            </w:r>
          </w:p>
        </w:tc>
        <w:tc>
          <w:tcPr>
            <w:tcW w:type="dxa" w:w="1247"/>
          </w:tcPr>
          <w:p>
            <w:r/>
            <w:r>
              <w:rPr>
                <w:b/>
              </w:rPr>
              <w:t>Παράγραφος</w:t>
            </w:r>
          </w:p>
        </w:tc>
        <w:tc>
          <w:tcPr>
            <w:tcW w:type="dxa" w:w="1361"/>
          </w:tcPr>
          <w:p>
            <w:r/>
            <w:r>
              <w:rPr>
                <w:b/>
              </w:rPr>
              <w:t>Αποτέλεσμα</w:t>
            </w:r>
          </w:p>
        </w:tc>
      </w:tr>
      <w:tr>
        <w:tc>
          <w:tcPr>
            <w:tcW w:type="dxa" w:w="907"/>
          </w:tcPr>
          <w:p>
            <w:r>
              <w:t>ΣΑ-01</w:t>
            </w:r>
          </w:p>
        </w:tc>
        <w:tc>
          <w:tcPr>
            <w:tcW w:type="dxa" w:w="5102"/>
          </w:tcPr>
          <w:p>
            <w:r>
              <w:t>Η περίπτωση ελέγχου του υποδείγματος δίνει €120,00</w:t>
            </w:r>
          </w:p>
        </w:tc>
        <w:tc>
          <w:tcPr>
            <w:tcW w:type="dxa" w:w="1247"/>
          </w:tcPr>
          <w:p>
            <w:r>
              <w:t>§4.1</w:t>
            </w:r>
          </w:p>
        </w:tc>
        <w:tc>
          <w:tcPr>
            <w:tcW w:type="dxa" w:w="1361"/>
          </w:tcPr>
          <w:p>
            <w:r>
              <w:rPr>
                <w:b/>
                <w:color w:val="2E7D32"/>
              </w:rPr>
              <w:t>Επιτυχία</w:t>
            </w:r>
          </w:p>
        </w:tc>
      </w:tr>
      <w:tr>
        <w:tc>
          <w:tcPr>
            <w:tcW w:type="dxa" w:w="907"/>
          </w:tcPr>
          <w:p>
            <w:r>
              <w:t>ΣΑ-02</w:t>
            </w:r>
          </w:p>
        </w:tc>
        <w:tc>
          <w:tcPr>
            <w:tcW w:type="dxa" w:w="5102"/>
          </w:tcPr>
          <w:p>
            <w:r>
              <w:t>Και οι 15 συνδυασμοί του πίνακα βαρύτητας</w:t>
            </w:r>
          </w:p>
        </w:tc>
        <w:tc>
          <w:tcPr>
            <w:tcW w:type="dxa" w:w="1247"/>
          </w:tcPr>
          <w:p>
            <w:r>
              <w:t>§4.1, §13</w:t>
            </w:r>
          </w:p>
        </w:tc>
        <w:tc>
          <w:tcPr>
            <w:tcW w:type="dxa" w:w="1361"/>
          </w:tcPr>
          <w:p>
            <w:r>
              <w:rPr>
                <w:b/>
                <w:color w:val="2E7D32"/>
              </w:rPr>
              <w:t>Επιτυχία</w:t>
            </w:r>
          </w:p>
        </w:tc>
      </w:tr>
      <w:tr>
        <w:tc>
          <w:tcPr>
            <w:tcW w:type="dxa" w:w="907"/>
          </w:tcPr>
          <w:p>
            <w:r>
              <w:t>ΣΑ-03</w:t>
            </w:r>
          </w:p>
        </w:tc>
        <w:tc>
          <w:tcPr>
            <w:tcW w:type="dxa" w:w="5102"/>
          </w:tcPr>
          <w:p>
            <w:r>
              <w:t>Λαμβάνεται η μέγιστη κατηγορία κάθε πλευράς</w:t>
            </w:r>
          </w:p>
        </w:tc>
        <w:tc>
          <w:tcPr>
            <w:tcW w:type="dxa" w:w="1247"/>
          </w:tcPr>
          <w:p>
            <w:r>
              <w:t>§4.1</w:t>
            </w:r>
          </w:p>
        </w:tc>
        <w:tc>
          <w:tcPr>
            <w:tcW w:type="dxa" w:w="1361"/>
          </w:tcPr>
          <w:p>
            <w:r>
              <w:rPr>
                <w:b/>
                <w:color w:val="2E7D32"/>
              </w:rPr>
              <w:t>Επιτυχία</w:t>
            </w:r>
          </w:p>
        </w:tc>
      </w:tr>
      <w:tr>
        <w:tc>
          <w:tcPr>
            <w:tcW w:type="dxa" w:w="907"/>
          </w:tcPr>
          <w:p>
            <w:r>
              <w:t>ΣΑ-04</w:t>
            </w:r>
          </w:p>
        </w:tc>
        <w:tc>
          <w:tcPr>
            <w:tcW w:type="dxa" w:w="5102"/>
          </w:tcPr>
          <w:p>
            <w:r>
              <w:t>Μόνο διαλογή χρεώνεται €10,00</w:t>
            </w:r>
          </w:p>
        </w:tc>
        <w:tc>
          <w:tcPr>
            <w:tcW w:type="dxa" w:w="1247"/>
          </w:tcPr>
          <w:p>
            <w:r>
              <w:t>§4.1</w:t>
            </w:r>
          </w:p>
        </w:tc>
        <w:tc>
          <w:tcPr>
            <w:tcW w:type="dxa" w:w="1361"/>
          </w:tcPr>
          <w:p>
            <w:r>
              <w:rPr>
                <w:b/>
                <w:color w:val="2E7D32"/>
              </w:rPr>
              <w:t>Επιτυχία</w:t>
            </w:r>
          </w:p>
        </w:tc>
      </w:tr>
      <w:tr>
        <w:tc>
          <w:tcPr>
            <w:tcW w:type="dxa" w:w="907"/>
          </w:tcPr>
          <w:p>
            <w:r>
              <w:t>ΣΑ-05</w:t>
            </w:r>
          </w:p>
        </w:tc>
        <w:tc>
          <w:tcPr>
            <w:tcW w:type="dxa" w:w="5102"/>
          </w:tcPr>
          <w:p>
            <w:r>
              <w:t>Μονομερής επιλογή υπηρεσιών απορρίπτεται</w:t>
            </w:r>
          </w:p>
        </w:tc>
        <w:tc>
          <w:tcPr>
            <w:tcW w:type="dxa" w:w="1247"/>
          </w:tcPr>
          <w:p>
            <w:r>
              <w:t>§4.1, §10</w:t>
            </w:r>
          </w:p>
        </w:tc>
        <w:tc>
          <w:tcPr>
            <w:tcW w:type="dxa" w:w="1361"/>
          </w:tcPr>
          <w:p>
            <w:r>
              <w:rPr>
                <w:b/>
                <w:color w:val="2E7D32"/>
              </w:rPr>
              <w:t>Επιτυχία</w:t>
            </w:r>
          </w:p>
        </w:tc>
      </w:tr>
      <w:tr>
        <w:tc>
          <w:tcPr>
            <w:tcW w:type="dxa" w:w="907"/>
          </w:tcPr>
          <w:p>
            <w:r>
              <w:t>ΣΑ-06</w:t>
            </w:r>
          </w:p>
        </w:tc>
        <w:tc>
          <w:tcPr>
            <w:tcW w:type="dxa" w:w="5102"/>
          </w:tcPr>
          <w:p>
            <w:r>
              <w:t>Παλιό περιστατικό κοστολογείται με την παλιά τιμή</w:t>
            </w:r>
          </w:p>
        </w:tc>
        <w:tc>
          <w:tcPr>
            <w:tcW w:type="dxa" w:w="1247"/>
          </w:tcPr>
          <w:p>
            <w:r>
              <w:t>§6</w:t>
            </w:r>
          </w:p>
        </w:tc>
        <w:tc>
          <w:tcPr>
            <w:tcW w:type="dxa" w:w="1361"/>
          </w:tcPr>
          <w:p>
            <w:r>
              <w:rPr>
                <w:b/>
                <w:color w:val="2E7D32"/>
              </w:rPr>
              <w:t>Επιτυχία</w:t>
            </w:r>
          </w:p>
        </w:tc>
      </w:tr>
      <w:tr>
        <w:tc>
          <w:tcPr>
            <w:tcW w:type="dxa" w:w="907"/>
          </w:tcPr>
          <w:p>
            <w:r>
              <w:t>ΣΑ-07</w:t>
            </w:r>
          </w:p>
        </w:tc>
        <w:tc>
          <w:tcPr>
            <w:tcW w:type="dxa" w:w="5102"/>
          </w:tcPr>
          <w:p>
            <w:r>
              <w:t>Καμία τιμή σε ισχύ σημαίνει άρνηση, όχι προεπιλογή</w:t>
            </w:r>
          </w:p>
        </w:tc>
        <w:tc>
          <w:tcPr>
            <w:tcW w:type="dxa" w:w="1247"/>
          </w:tcPr>
          <w:p>
            <w:r>
              <w:t>§6, §10</w:t>
            </w:r>
          </w:p>
        </w:tc>
        <w:tc>
          <w:tcPr>
            <w:tcW w:type="dxa" w:w="1361"/>
          </w:tcPr>
          <w:p>
            <w:r>
              <w:rPr>
                <w:b/>
                <w:color w:val="2E7D32"/>
              </w:rPr>
              <w:t>Επιτυχία</w:t>
            </w:r>
          </w:p>
        </w:tc>
      </w:tr>
      <w:tr>
        <w:tc>
          <w:tcPr>
            <w:tcW w:type="dxa" w:w="907"/>
          </w:tcPr>
          <w:p>
            <w:r>
              <w:t>ΣΑ-08</w:t>
            </w:r>
          </w:p>
        </w:tc>
        <w:tc>
          <w:tcPr>
            <w:tcW w:type="dxa" w:w="5102"/>
          </w:tcPr>
          <w:p>
            <w:r>
              <w:t>Η αλλαγή τιμής δεν αντικαθιστά την προηγούμενη</w:t>
            </w:r>
          </w:p>
        </w:tc>
        <w:tc>
          <w:tcPr>
            <w:tcW w:type="dxa" w:w="1247"/>
          </w:tcPr>
          <w:p>
            <w:r>
              <w:t>§6, §7</w:t>
            </w:r>
          </w:p>
        </w:tc>
        <w:tc>
          <w:tcPr>
            <w:tcW w:type="dxa" w:w="1361"/>
          </w:tcPr>
          <w:p>
            <w:r>
              <w:rPr>
                <w:b/>
                <w:color w:val="2E7D32"/>
              </w:rPr>
              <w:t>Επιτυχία</w:t>
            </w:r>
          </w:p>
        </w:tc>
      </w:tr>
      <w:tr>
        <w:tc>
          <w:tcPr>
            <w:tcW w:type="dxa" w:w="907"/>
          </w:tcPr>
          <w:p>
            <w:r>
              <w:t>ΣΑ-09</w:t>
            </w:r>
          </w:p>
        </w:tc>
        <w:tc>
          <w:tcPr>
            <w:tcW w:type="dxa" w:w="5102"/>
          </w:tcPr>
          <w:p>
            <w:r>
              <w:t>Αναδρομική αλλαγή σε κλεισμένη περίοδο απορρίπτεται</w:t>
            </w:r>
          </w:p>
        </w:tc>
        <w:tc>
          <w:tcPr>
            <w:tcW w:type="dxa" w:w="1247"/>
          </w:tcPr>
          <w:p>
            <w:r>
              <w:t>§6</w:t>
            </w:r>
          </w:p>
        </w:tc>
        <w:tc>
          <w:tcPr>
            <w:tcW w:type="dxa" w:w="1361"/>
          </w:tcPr>
          <w:p>
            <w:r>
              <w:rPr>
                <w:b/>
                <w:color w:val="2E7D32"/>
              </w:rPr>
              <w:t>Επιτυχία</w:t>
            </w:r>
          </w:p>
        </w:tc>
      </w:tr>
      <w:tr>
        <w:tc>
          <w:tcPr>
            <w:tcW w:type="dxa" w:w="907"/>
          </w:tcPr>
          <w:p>
            <w:r>
              <w:t>ΣΑ-10</w:t>
            </w:r>
          </w:p>
        </w:tc>
        <w:tc>
          <w:tcPr>
            <w:tcW w:type="dxa" w:w="5102"/>
          </w:tcPr>
          <w:p>
            <w:r>
              <w:t>Οι αριθμοί κοστολόγησης είναι συνεχείς και μοναδικοί</w:t>
            </w:r>
          </w:p>
        </w:tc>
        <w:tc>
          <w:tcPr>
            <w:tcW w:type="dxa" w:w="1247"/>
          </w:tcPr>
          <w:p>
            <w:r>
              <w:t>§5, §13</w:t>
            </w:r>
          </w:p>
        </w:tc>
        <w:tc>
          <w:tcPr>
            <w:tcW w:type="dxa" w:w="1361"/>
          </w:tcPr>
          <w:p>
            <w:r>
              <w:rPr>
                <w:b/>
                <w:color w:val="2E7D32"/>
              </w:rPr>
              <w:t>Επιτυχία</w:t>
            </w:r>
          </w:p>
        </w:tc>
      </w:tr>
      <w:tr>
        <w:tc>
          <w:tcPr>
            <w:tcW w:type="dxa" w:w="907"/>
          </w:tcPr>
          <w:p>
            <w:r>
              <w:t>ΣΑ-11</w:t>
            </w:r>
          </w:p>
        </w:tc>
        <w:tc>
          <w:tcPr>
            <w:tcW w:type="dxa" w:w="5102"/>
          </w:tcPr>
          <w:p>
            <w:r>
              <w:t>Κάθε μονάδα ΤΑΕΠ έχει δική της σειρά</w:t>
            </w:r>
          </w:p>
        </w:tc>
        <w:tc>
          <w:tcPr>
            <w:tcW w:type="dxa" w:w="1247"/>
          </w:tcPr>
          <w:p>
            <w:r>
              <w:t>§5</w:t>
            </w:r>
          </w:p>
        </w:tc>
        <w:tc>
          <w:tcPr>
            <w:tcW w:type="dxa" w:w="1361"/>
          </w:tcPr>
          <w:p>
            <w:r>
              <w:rPr>
                <w:b/>
                <w:color w:val="2E7D32"/>
              </w:rPr>
              <w:t>Επιτυχία</w:t>
            </w:r>
          </w:p>
        </w:tc>
      </w:tr>
      <w:tr>
        <w:tc>
          <w:tcPr>
            <w:tcW w:type="dxa" w:w="907"/>
          </w:tcPr>
          <w:p>
            <w:r>
              <w:t>ΣΑ-12</w:t>
            </w:r>
          </w:p>
        </w:tc>
        <w:tc>
          <w:tcPr>
            <w:tcW w:type="dxa" w:w="5102"/>
          </w:tcPr>
          <w:p>
            <w:r>
              <w:t>Ακυρωμένος αριθμός δεν επαναχρησιμοποιείται</w:t>
            </w:r>
          </w:p>
        </w:tc>
        <w:tc>
          <w:tcPr>
            <w:tcW w:type="dxa" w:w="1247"/>
          </w:tcPr>
          <w:p>
            <w:r>
              <w:t>§5, §7</w:t>
            </w:r>
          </w:p>
        </w:tc>
        <w:tc>
          <w:tcPr>
            <w:tcW w:type="dxa" w:w="1361"/>
          </w:tcPr>
          <w:p>
            <w:r>
              <w:rPr>
                <w:b/>
                <w:color w:val="2E7D32"/>
              </w:rPr>
              <w:t>Επιτυχία</w:t>
            </w:r>
          </w:p>
        </w:tc>
      </w:tr>
      <w:tr>
        <w:tc>
          <w:tcPr>
            <w:tcW w:type="dxa" w:w="907"/>
          </w:tcPr>
          <w:p>
            <w:r>
              <w:t>ΣΑ-13</w:t>
            </w:r>
          </w:p>
        </w:tc>
        <w:tc>
          <w:tcPr>
            <w:tcW w:type="dxa" w:w="5102"/>
          </w:tcPr>
          <w:p>
            <w:r>
              <w:t>Μεταβολή υπηρεσιών ακυρώνει τον υπολογισμό</w:t>
            </w:r>
          </w:p>
        </w:tc>
        <w:tc>
          <w:tcPr>
            <w:tcW w:type="dxa" w:w="1247"/>
          </w:tcPr>
          <w:p>
            <w:r>
              <w:t>§4.1</w:t>
            </w:r>
          </w:p>
        </w:tc>
        <w:tc>
          <w:tcPr>
            <w:tcW w:type="dxa" w:w="1361"/>
          </w:tcPr>
          <w:p>
            <w:r>
              <w:rPr>
                <w:b/>
                <w:color w:val="2E7D32"/>
              </w:rPr>
              <w:t>Επιτυχία</w:t>
            </w:r>
          </w:p>
        </w:tc>
      </w:tr>
      <w:tr>
        <w:tc>
          <w:tcPr>
            <w:tcW w:type="dxa" w:w="907"/>
          </w:tcPr>
          <w:p>
            <w:r>
              <w:t>ΣΑ-14</w:t>
            </w:r>
          </w:p>
        </w:tc>
        <w:tc>
          <w:tcPr>
            <w:tcW w:type="dxa" w:w="5102"/>
          </w:tcPr>
          <w:p>
            <w:r>
              <w:t>Οριστικοποιημένη κοστολόγηση δεν τροποποιείται</w:t>
            </w:r>
          </w:p>
        </w:tc>
        <w:tc>
          <w:tcPr>
            <w:tcW w:type="dxa" w:w="1247"/>
          </w:tcPr>
          <w:p>
            <w:r>
              <w:t>§10</w:t>
            </w:r>
          </w:p>
        </w:tc>
        <w:tc>
          <w:tcPr>
            <w:tcW w:type="dxa" w:w="1361"/>
          </w:tcPr>
          <w:p>
            <w:r>
              <w:rPr>
                <w:b/>
                <w:color w:val="2E7D32"/>
              </w:rPr>
              <w:t>Επιτυχία</w:t>
            </w:r>
          </w:p>
        </w:tc>
      </w:tr>
      <w:tr>
        <w:tc>
          <w:tcPr>
            <w:tcW w:type="dxa" w:w="907"/>
          </w:tcPr>
          <w:p>
            <w:r>
              <w:t>ΣΑ-15</w:t>
            </w:r>
          </w:p>
        </w:tc>
        <w:tc>
          <w:tcPr>
            <w:tcW w:type="dxa" w:w="5102"/>
          </w:tcPr>
          <w:p>
            <w:r>
              <w:t>Μη έγκυρη οικονομική κατηγορία απορρίπτεται από τον διακομιστή</w:t>
            </w:r>
          </w:p>
        </w:tc>
        <w:tc>
          <w:tcPr>
            <w:tcW w:type="dxa" w:w="1247"/>
          </w:tcPr>
          <w:p>
            <w:r>
              <w:t>§4.4</w:t>
            </w:r>
          </w:p>
        </w:tc>
        <w:tc>
          <w:tcPr>
            <w:tcW w:type="dxa" w:w="1361"/>
          </w:tcPr>
          <w:p>
            <w:r>
              <w:rPr>
                <w:b/>
                <w:color w:val="2E7D32"/>
              </w:rPr>
              <w:t>Επιτυχία</w:t>
            </w:r>
          </w:p>
        </w:tc>
      </w:tr>
      <w:tr>
        <w:tc>
          <w:tcPr>
            <w:tcW w:type="dxa" w:w="907"/>
          </w:tcPr>
          <w:p>
            <w:r>
              <w:t>ΣΑ-16</w:t>
            </w:r>
          </w:p>
        </w:tc>
        <w:tc>
          <w:tcPr>
            <w:tcW w:type="dxa" w:w="5102"/>
          </w:tcPr>
          <w:p>
            <w:r>
              <w:t>Καταχώρηση άλλου νοσηλευτηρίου δεν αποκαλύπτεται</w:t>
            </w:r>
          </w:p>
        </w:tc>
        <w:tc>
          <w:tcPr>
            <w:tcW w:type="dxa" w:w="1247"/>
          </w:tcPr>
          <w:p>
            <w:r>
              <w:t>§8, §13</w:t>
            </w:r>
          </w:p>
        </w:tc>
        <w:tc>
          <w:tcPr>
            <w:tcW w:type="dxa" w:w="1361"/>
          </w:tcPr>
          <w:p>
            <w:r>
              <w:rPr>
                <w:b/>
                <w:color w:val="2E7D32"/>
              </w:rPr>
              <w:t>Επιτυχία</w:t>
            </w:r>
          </w:p>
        </w:tc>
      </w:tr>
      <w:tr>
        <w:tc>
          <w:tcPr>
            <w:tcW w:type="dxa" w:w="907"/>
          </w:tcPr>
          <w:p>
            <w:r>
              <w:t>ΣΑ-17</w:t>
            </w:r>
          </w:p>
        </w:tc>
        <w:tc>
          <w:tcPr>
            <w:tcW w:type="dxa" w:w="5102"/>
          </w:tcPr>
          <w:p>
            <w:r>
              <w:t>Χρήστης χωρίς δικαίωμα δεν βλέπει τη διαχείριση τιμών</w:t>
            </w:r>
          </w:p>
        </w:tc>
        <w:tc>
          <w:tcPr>
            <w:tcW w:type="dxa" w:w="1247"/>
          </w:tcPr>
          <w:p>
            <w:r>
              <w:t>§8</w:t>
            </w:r>
          </w:p>
        </w:tc>
        <w:tc>
          <w:tcPr>
            <w:tcW w:type="dxa" w:w="1361"/>
          </w:tcPr>
          <w:p>
            <w:r>
              <w:rPr>
                <w:b/>
                <w:color w:val="2E7D32"/>
              </w:rPr>
              <w:t>Επιτυχία</w:t>
            </w:r>
          </w:p>
        </w:tc>
      </w:tr>
      <w:tr>
        <w:tc>
          <w:tcPr>
            <w:tcW w:type="dxa" w:w="907"/>
          </w:tcPr>
          <w:p>
            <w:r>
              <w:t>ΣΑ-18</w:t>
            </w:r>
          </w:p>
        </w:tc>
        <w:tc>
          <w:tcPr>
            <w:tcW w:type="dxa" w:w="5102"/>
          </w:tcPr>
          <w:p>
            <w:r>
              <w:t>Το έντυπο κοστολόγησης περιέχει όλα τα απαιτούμενα πεδία</w:t>
            </w:r>
          </w:p>
        </w:tc>
        <w:tc>
          <w:tcPr>
            <w:tcW w:type="dxa" w:w="1247"/>
          </w:tcPr>
          <w:p>
            <w:r>
              <w:t>§12</w:t>
            </w:r>
          </w:p>
        </w:tc>
        <w:tc>
          <w:tcPr>
            <w:tcW w:type="dxa" w:w="1361"/>
          </w:tcPr>
          <w:p>
            <w:r>
              <w:rPr>
                <w:b/>
                <w:color w:val="2E7D32"/>
              </w:rPr>
              <w:t>Επιτυχία</w:t>
            </w:r>
          </w:p>
        </w:tc>
      </w:tr>
      <w:tr>
        <w:tc>
          <w:tcPr>
            <w:tcW w:type="dxa" w:w="907"/>
          </w:tcPr>
          <w:p>
            <w:r>
              <w:t>ΣΑ-19</w:t>
            </w:r>
          </w:p>
        </w:tc>
        <w:tc>
          <w:tcPr>
            <w:tcW w:type="dxa" w:w="5102"/>
          </w:tcPr>
          <w:p>
            <w:r>
              <w:t>Το έντυπο αναπαράγεται πανομοιότυπα</w:t>
            </w:r>
          </w:p>
        </w:tc>
        <w:tc>
          <w:tcPr>
            <w:tcW w:type="dxa" w:w="1247"/>
          </w:tcPr>
          <w:p>
            <w:r>
              <w:t>§12</w:t>
            </w:r>
          </w:p>
        </w:tc>
        <w:tc>
          <w:tcPr>
            <w:tcW w:type="dxa" w:w="1361"/>
          </w:tcPr>
          <w:p>
            <w:r>
              <w:rPr>
                <w:b/>
                <w:color w:val="2E7D32"/>
              </w:rPr>
              <w:t>Επιτυχία</w:t>
            </w:r>
          </w:p>
        </w:tc>
      </w:tr>
      <w:tr>
        <w:tc>
          <w:tcPr>
            <w:tcW w:type="dxa" w:w="907"/>
          </w:tcPr>
          <w:p>
            <w:r>
              <w:t>ΣΑ-20</w:t>
            </w:r>
          </w:p>
        </w:tc>
        <w:tc>
          <w:tcPr>
            <w:tcW w:type="dxa" w:w="5102"/>
          </w:tcPr>
          <w:p>
            <w:r>
              <w:t>Η μεταφόρτωση τιμοκαταλόγου με σφάλμα δεν εφαρμόζει τίποτα</w:t>
            </w:r>
          </w:p>
        </w:tc>
        <w:tc>
          <w:tcPr>
            <w:tcW w:type="dxa" w:w="1247"/>
          </w:tcPr>
          <w:p>
            <w:r>
              <w:t>§7</w:t>
            </w:r>
          </w:p>
        </w:tc>
        <w:tc>
          <w:tcPr>
            <w:tcW w:type="dxa" w:w="1361"/>
          </w:tcPr>
          <w:p>
            <w:r>
              <w:rPr>
                <w:b/>
                <w:color w:val="2E7D32"/>
              </w:rPr>
              <w:t>Επιτυχία</w:t>
            </w:r>
          </w:p>
        </w:tc>
      </w:tr>
      <w:tr>
        <w:tc>
          <w:tcPr>
            <w:tcW w:type="dxa" w:w="907"/>
          </w:tcPr>
          <w:p>
            <w:r>
              <w:t>ΣΑ-21</w:t>
            </w:r>
          </w:p>
        </w:tc>
        <w:tc>
          <w:tcPr>
            <w:tcW w:type="dxa" w:w="5102"/>
          </w:tcPr>
          <w:p>
            <w:r>
              <w:t>Η εξαγωγή σε Excel φέρει ζωντανούς τύπους</w:t>
            </w:r>
          </w:p>
        </w:tc>
        <w:tc>
          <w:tcPr>
            <w:tcW w:type="dxa" w:w="1247"/>
          </w:tcPr>
          <w:p>
            <w:r>
              <w:t>§7</w:t>
            </w:r>
          </w:p>
        </w:tc>
        <w:tc>
          <w:tcPr>
            <w:tcW w:type="dxa" w:w="1361"/>
          </w:tcPr>
          <w:p>
            <w:r>
              <w:rPr>
                <w:b/>
                <w:color w:val="2E7D32"/>
              </w:rPr>
              <w:t>Επιτυχία</w:t>
            </w:r>
          </w:p>
        </w:tc>
      </w:tr>
      <w:tr>
        <w:tc>
          <w:tcPr>
            <w:tcW w:type="dxa" w:w="907"/>
          </w:tcPr>
          <w:p>
            <w:r>
              <w:t>ΣΑ-22</w:t>
            </w:r>
          </w:p>
        </w:tc>
        <w:tc>
          <w:tcPr>
            <w:tcW w:type="dxa" w:w="5102"/>
          </w:tcPr>
          <w:p>
            <w:r>
              <w:t>Κάθε μεταβολή καταγράφεται</w:t>
            </w:r>
          </w:p>
        </w:tc>
        <w:tc>
          <w:tcPr>
            <w:tcW w:type="dxa" w:w="1247"/>
          </w:tcPr>
          <w:p>
            <w:r>
              <w:t>§5</w:t>
            </w:r>
          </w:p>
        </w:tc>
        <w:tc>
          <w:tcPr>
            <w:tcW w:type="dxa" w:w="1361"/>
          </w:tcPr>
          <w:p>
            <w:r>
              <w:rPr>
                <w:b/>
                <w:color w:val="2E7D32"/>
              </w:rPr>
              <w:t>Επιτυχία</w:t>
            </w:r>
          </w:p>
        </w:tc>
      </w:tr>
      <w:tr>
        <w:tc>
          <w:tcPr>
            <w:tcW w:type="dxa" w:w="907"/>
          </w:tcPr>
          <w:p>
            <w:r>
              <w:t>ΣΑ-23</w:t>
            </w:r>
          </w:p>
        </w:tc>
        <w:tc>
          <w:tcPr>
            <w:tcW w:type="dxa" w:w="5102"/>
          </w:tcPr>
          <w:p>
            <w:r>
              <w:t>Η κοστολόγηση αναπαράγεται από τα αποθηκευμένα στοιχεία</w:t>
            </w:r>
          </w:p>
        </w:tc>
        <w:tc>
          <w:tcPr>
            <w:tcW w:type="dxa" w:w="1247"/>
          </w:tcPr>
          <w:p>
            <w:r>
              <w:t>§5, §6</w:t>
            </w:r>
          </w:p>
        </w:tc>
        <w:tc>
          <w:tcPr>
            <w:tcW w:type="dxa" w:w="1361"/>
          </w:tcPr>
          <w:p>
            <w:r>
              <w:rPr>
                <w:b/>
                <w:color w:val="2E7D32"/>
              </w:rPr>
              <w:t>Επιτυχία</w:t>
            </w:r>
          </w:p>
        </w:tc>
      </w:tr>
      <w:tr>
        <w:tc>
          <w:tcPr>
            <w:tcW w:type="dxa" w:w="907"/>
          </w:tcPr>
          <w:p>
            <w:r>
              <w:t>ΣΑ-24</w:t>
            </w:r>
          </w:p>
        </w:tc>
        <w:tc>
          <w:tcPr>
            <w:tcW w:type="dxa" w:w="5102"/>
          </w:tcPr>
          <w:p>
            <w:r>
              <w:t>Αναζήτηση υπηρεσίας χωρίς τόνους και πεζά/κεφαλαία</w:t>
            </w:r>
          </w:p>
        </w:tc>
        <w:tc>
          <w:tcPr>
            <w:tcW w:type="dxa" w:w="1247"/>
          </w:tcPr>
          <w:p>
            <w:r>
              <w:t>§11</w:t>
            </w:r>
          </w:p>
        </w:tc>
        <w:tc>
          <w:tcPr>
            <w:tcW w:type="dxa" w:w="1361"/>
          </w:tcPr>
          <w:p>
            <w:r>
              <w:rPr>
                <w:b/>
                <w:color w:val="2E7D32"/>
              </w:rPr>
              <w:t>Επιτυχία</w:t>
            </w:r>
          </w:p>
        </w:tc>
      </w:tr>
      <w:tr>
        <w:tc>
          <w:tcPr>
            <w:tcW w:type="dxa" w:w="907"/>
          </w:tcPr>
          <w:p>
            <w:r>
              <w:t>ΣΑ-25</w:t>
            </w:r>
          </w:p>
        </w:tc>
        <w:tc>
          <w:tcPr>
            <w:tcW w:type="dxa" w:w="5102"/>
          </w:tcPr>
          <w:p>
            <w:r>
              <w:t>Προηγούμενες κοστολογήσεις «Επί Πληρωμή» επισημαίνονται</w:t>
            </w:r>
          </w:p>
        </w:tc>
        <w:tc>
          <w:tcPr>
            <w:tcW w:type="dxa" w:w="1247"/>
          </w:tcPr>
          <w:p>
            <w:r>
              <w:t>§7</w:t>
            </w:r>
          </w:p>
        </w:tc>
        <w:tc>
          <w:tcPr>
            <w:tcW w:type="dxa" w:w="1361"/>
          </w:tcPr>
          <w:p>
            <w:r>
              <w:rPr>
                <w:b/>
                <w:color w:val="2E7D32"/>
              </w:rPr>
              <w:t>Επιτυχία</w:t>
            </w:r>
          </w:p>
        </w:tc>
      </w:tr>
      <w:tr>
        <w:tc>
          <w:tcPr>
            <w:tcW w:type="dxa" w:w="907"/>
          </w:tcPr>
          <w:p>
            <w:r>
              <w:t>ΣΑ-26</w:t>
            </w:r>
          </w:p>
        </w:tc>
        <w:tc>
          <w:tcPr>
            <w:tcW w:type="dxa" w:w="5102"/>
          </w:tcPr>
          <w:p>
            <w:r>
              <w:t>Ο αριθμός από το έντυπο ανοίγει την κοστολόγηση</w:t>
            </w:r>
          </w:p>
        </w:tc>
        <w:tc>
          <w:tcPr>
            <w:tcW w:type="dxa" w:w="1247"/>
          </w:tcPr>
          <w:p>
            <w:r>
              <w:t>§12</w:t>
            </w:r>
          </w:p>
        </w:tc>
        <w:tc>
          <w:tcPr>
            <w:tcW w:type="dxa" w:w="1361"/>
          </w:tcPr>
          <w:p>
            <w:r>
              <w:rPr>
                <w:b/>
                <w:color w:val="2E7D32"/>
              </w:rPr>
              <w:t>Επιτυχία</w:t>
            </w:r>
          </w:p>
        </w:tc>
      </w:tr>
      <w:tr>
        <w:tc>
          <w:tcPr>
            <w:tcW w:type="dxa" w:w="907"/>
          </w:tcPr>
          <w:p>
            <w:r>
              <w:t>ΣΑ-27</w:t>
            </w:r>
          </w:p>
        </w:tc>
        <w:tc>
          <w:tcPr>
            <w:tcW w:type="dxa" w:w="5102"/>
          </w:tcPr>
          <w:p>
            <w:r>
              <w:t>Αριθμός άλλου νοσηλευτηρίου δεν αποκαλύπτεται</w:t>
            </w:r>
          </w:p>
        </w:tc>
        <w:tc>
          <w:tcPr>
            <w:tcW w:type="dxa" w:w="1247"/>
          </w:tcPr>
          <w:p>
            <w:r>
              <w:t>§13</w:t>
            </w:r>
          </w:p>
        </w:tc>
        <w:tc>
          <w:tcPr>
            <w:tcW w:type="dxa" w:w="1361"/>
          </w:tcPr>
          <w:p>
            <w:r>
              <w:rPr>
                <w:b/>
                <w:color w:val="2E7D32"/>
              </w:rPr>
              <w:t>Επιτυχία</w:t>
            </w:r>
          </w:p>
        </w:tc>
      </w:tr>
      <w:tr>
        <w:tc>
          <w:tcPr>
            <w:tcW w:type="dxa" w:w="907"/>
          </w:tcPr>
          <w:p>
            <w:r>
              <w:t>ΣΑ-28</w:t>
            </w:r>
          </w:p>
        </w:tc>
        <w:tc>
          <w:tcPr>
            <w:tcW w:type="dxa" w:w="5102"/>
          </w:tcPr>
          <w:p>
            <w:r>
              <w:t>Το ταμείο διαβάζει, δεν γράφει</w:t>
            </w:r>
          </w:p>
        </w:tc>
        <w:tc>
          <w:tcPr>
            <w:tcW w:type="dxa" w:w="1247"/>
          </w:tcPr>
          <w:p>
            <w:r>
              <w:t>§8</w:t>
            </w:r>
          </w:p>
        </w:tc>
        <w:tc>
          <w:tcPr>
            <w:tcW w:type="dxa" w:w="1361"/>
          </w:tcPr>
          <w:p>
            <w:r>
              <w:rPr>
                <w:b/>
                <w:color w:val="2E7D32"/>
              </w:rPr>
              <w:t>Επιτυχία</w:t>
            </w:r>
          </w:p>
        </w:tc>
      </w:tr>
    </w:tbl>
    <w:p>
      <w:r>
        <w:br w:type="page"/>
      </w:r>
    </w:p>
    <w:p>
      <w:r>
        <w:rPr>
          <w:b/>
          <w:color w:val="1F3864"/>
          <w:sz w:val="24"/>
        </w:rPr>
        <w:t>Αναλυτικά σενάρια</w:t>
      </w:r>
    </w:p>
    <w:p>
      <w:r>
        <w:rPr>
          <w:b/>
          <w:color w:val="2E7D32"/>
          <w:sz w:val="22"/>
        </w:rPr>
        <w:t>ΣΑ-01 — Η περίπτωση ελέγχου του υποδείγματος δίνει €120,00</w:t>
      </w:r>
    </w:p>
    <w:p>
      <w:pPr>
        <w:spacing w:after="40"/>
        <w:jc w:val="both"/>
      </w:pPr>
      <w:r>
        <w:rPr>
          <w:b/>
        </w:rPr>
        <w:t xml:space="preserve">Δεδομένου: </w:t>
      </w:r>
      <w:r>
        <w:t>Περιστατικό κατηγορίας 624 με τις υπηρεσίες του υποδείγματος κοστολόγησης OKY1054/0035.</w:t>
      </w:r>
    </w:p>
    <w:p>
      <w:pPr>
        <w:spacing w:after="40"/>
        <w:jc w:val="both"/>
      </w:pPr>
      <w:r>
        <w:rPr>
          <w:b/>
        </w:rPr>
        <w:t xml:space="preserve">Όταν: </w:t>
      </w:r>
      <w:r>
        <w:t>Ο κωδικοποιητής επιλέγει τις υπηρεσίες και πατά «Υπολογισμός».</w:t>
      </w:r>
    </w:p>
    <w:p>
      <w:pPr>
        <w:spacing w:after="40"/>
        <w:jc w:val="both"/>
      </w:pPr>
      <w:r>
        <w:rPr>
          <w:b/>
        </w:rPr>
        <w:t xml:space="preserve">Τότε: </w:t>
      </w:r>
      <w:r>
        <w:t>Μέγιστη διαγνωστική κατηγορία 2, μέγιστη θεραπευτική 3, βαρύτητα 8, κοστολόγηση βάσει βαρύτητας €120,00 και τελικό κόστος €120,00.</w:t>
      </w:r>
    </w:p>
    <w:p>
      <w:pPr>
        <w:spacing w:after="60"/>
      </w:pPr>
      <w:r>
        <w:rPr>
          <w:b/>
        </w:rPr>
        <w:t xml:space="preserve">Παράγραφος προδιαγραφής: </w:t>
      </w:r>
      <w:r>
        <w:t>§4.1</w:t>
      </w:r>
    </w:p>
    <w:p>
      <w:r>
        <w:rPr>
          <w:b/>
          <w:color w:val="2E7D32"/>
        </w:rPr>
        <w:t>Επαληθεύτηκε (5 έλεγχοι):</w:t>
      </w:r>
    </w:p>
    <w:p>
      <w:pPr>
        <w:pStyle w:val="ListBullet"/>
        <w:spacing w:after="20"/>
      </w:pPr>
      <w:r>
        <w:t>μέγιστη διαγνωστική = 2</w:t>
      </w:r>
    </w:p>
    <w:p>
      <w:pPr>
        <w:pStyle w:val="ListBullet"/>
        <w:spacing w:after="20"/>
      </w:pPr>
      <w:r>
        <w:t>μέγιστη θεραπευτική = 3</w:t>
      </w:r>
    </w:p>
    <w:p>
      <w:pPr>
        <w:pStyle w:val="ListBullet"/>
        <w:spacing w:after="20"/>
      </w:pPr>
      <w:r>
        <w:t>βαρύτητα = 8</w:t>
      </w:r>
    </w:p>
    <w:p>
      <w:pPr>
        <w:pStyle w:val="ListBullet"/>
        <w:spacing w:after="20"/>
      </w:pPr>
      <w:r>
        <w:t>κοστολόγηση βάσει βαρύτητας = €120,00</w:t>
      </w:r>
    </w:p>
    <w:p>
      <w:pPr>
        <w:pStyle w:val="ListBullet"/>
        <w:spacing w:after="20"/>
      </w:pPr>
      <w:r>
        <w:t>τελικό κόστος = €120,00</w:t>
      </w:r>
    </w:p>
    <w:p>
      <w:pPr>
        <w:spacing w:after="160"/>
      </w:pPr>
    </w:p>
    <w:p>
      <w:r>
        <w:rPr>
          <w:b/>
          <w:color w:val="2E7D32"/>
          <w:sz w:val="22"/>
        </w:rPr>
        <w:t>ΣΑ-02 — Και οι 15 συνδυασμοί του πίνακα βαρύτητας</w:t>
      </w:r>
    </w:p>
    <w:p>
      <w:pPr>
        <w:spacing w:after="40"/>
        <w:jc w:val="both"/>
      </w:pPr>
      <w:r>
        <w:rPr>
          <w:b/>
        </w:rPr>
        <w:t xml:space="preserve">Δεδομένου: </w:t>
      </w:r>
      <w:r>
        <w:t>Ο πίνακας βαρύτητας του ΟΑΥ, 3 διαγνωστικές × 5 θεραπευτικές κατηγορίες.</w:t>
      </w:r>
    </w:p>
    <w:p>
      <w:pPr>
        <w:spacing w:after="40"/>
        <w:jc w:val="both"/>
      </w:pPr>
      <w:r>
        <w:rPr>
          <w:b/>
        </w:rPr>
        <w:t xml:space="preserve">Όταν: </w:t>
      </w:r>
      <w:r>
        <w:t>Υπολογισμός για κάθε συνδυασμό.</w:t>
      </w:r>
    </w:p>
    <w:p>
      <w:pPr>
        <w:spacing w:after="40"/>
        <w:jc w:val="both"/>
      </w:pPr>
      <w:r>
        <w:rPr>
          <w:b/>
        </w:rPr>
        <w:t xml:space="preserve">Τότε: </w:t>
      </w:r>
      <w:r>
        <w:t>Κάθε κελί δίνει τον τεκμηριωμένο συντελεστή και την αντίστοιχη ελληνική κατηγοριοποίηση.</w:t>
      </w:r>
    </w:p>
    <w:p>
      <w:pPr>
        <w:spacing w:after="60"/>
      </w:pPr>
      <w:r>
        <w:rPr>
          <w:b/>
        </w:rPr>
        <w:t xml:space="preserve">Παράγραφος προδιαγραφής: </w:t>
      </w:r>
      <w:r>
        <w:t>§4.1, §13</w:t>
      </w:r>
    </w:p>
    <w:p>
      <w:r>
        <w:rPr>
          <w:b/>
          <w:color w:val="2E7D32"/>
        </w:rPr>
        <w:t>Επαληθεύτηκε (15 έλεγχοι):</w:t>
      </w:r>
    </w:p>
    <w:p>
      <w:pPr>
        <w:pStyle w:val="ListBullet"/>
        <w:spacing w:after="20"/>
      </w:pPr>
      <w:r>
        <w:t>Δ1/Θ1 → βαρύτητα 4</w:t>
      </w:r>
    </w:p>
    <w:p>
      <w:pPr>
        <w:pStyle w:val="ListBullet"/>
        <w:spacing w:after="20"/>
      </w:pPr>
      <w:r>
        <w:t>Δ1/Θ2 → βαρύτητα 4</w:t>
      </w:r>
    </w:p>
    <w:p>
      <w:pPr>
        <w:pStyle w:val="ListBullet"/>
        <w:spacing w:after="20"/>
      </w:pPr>
      <w:r>
        <w:t>Δ1/Θ3 → βαρύτητα 8</w:t>
      </w:r>
    </w:p>
    <w:p>
      <w:pPr>
        <w:pStyle w:val="ListBullet"/>
        <w:spacing w:after="20"/>
      </w:pPr>
      <w:r>
        <w:t>Δ1/Θ4 → βαρύτητα 8</w:t>
      </w:r>
    </w:p>
    <w:p>
      <w:pPr>
        <w:pStyle w:val="ListBullet"/>
        <w:spacing w:after="20"/>
      </w:pPr>
      <w:r>
        <w:t>Δ1/Θ5 → βαρύτητα 12</w:t>
      </w:r>
    </w:p>
    <w:p>
      <w:pPr>
        <w:pStyle w:val="ListBullet"/>
        <w:spacing w:after="20"/>
      </w:pPr>
      <w:r>
        <w:t>Δ2/Θ1 → βαρύτητα 4</w:t>
      </w:r>
    </w:p>
    <w:p>
      <w:pPr>
        <w:pStyle w:val="ListBullet"/>
        <w:spacing w:after="20"/>
      </w:pPr>
      <w:r>
        <w:t>Δ2/Θ2 → βαρύτητα 4</w:t>
      </w:r>
    </w:p>
    <w:p>
      <w:pPr>
        <w:pStyle w:val="ListBullet"/>
        <w:spacing w:after="20"/>
      </w:pPr>
      <w:r>
        <w:t>Δ2/Θ3 → βαρύτητα 8</w:t>
      </w:r>
    </w:p>
    <w:p>
      <w:pPr>
        <w:pStyle w:val="ListBullet"/>
        <w:spacing w:after="20"/>
      </w:pPr>
      <w:r>
        <w:t>Δ2/Θ4 → βαρύτητα 12</w:t>
      </w:r>
    </w:p>
    <w:p>
      <w:pPr>
        <w:pStyle w:val="ListBullet"/>
        <w:spacing w:after="20"/>
      </w:pPr>
      <w:r>
        <w:t>Δ2/Θ5 → βαρύτητα 12</w:t>
      </w:r>
    </w:p>
    <w:p>
      <w:pPr>
        <w:pStyle w:val="ListBullet"/>
        <w:spacing w:after="20"/>
      </w:pPr>
      <w:r>
        <w:t>Δ3/Θ1 → βαρύτητα 12</w:t>
      </w:r>
    </w:p>
    <w:p>
      <w:pPr>
        <w:pStyle w:val="ListBullet"/>
        <w:spacing w:after="20"/>
      </w:pPr>
      <w:r>
        <w:t>Δ3/Θ2 → βαρύτητα 12</w:t>
      </w:r>
    </w:p>
    <w:p>
      <w:pPr>
        <w:pStyle w:val="ListBullet"/>
        <w:spacing w:after="20"/>
      </w:pPr>
      <w:r>
        <w:t>Δ3/Θ3 → βαρύτητα 12</w:t>
      </w:r>
    </w:p>
    <w:p>
      <w:pPr>
        <w:pStyle w:val="ListBullet"/>
        <w:spacing w:after="20"/>
      </w:pPr>
      <w:r>
        <w:t>Δ3/Θ4 → βαρύτητα 12</w:t>
      </w:r>
    </w:p>
    <w:p>
      <w:pPr>
        <w:pStyle w:val="ListBullet"/>
        <w:spacing w:after="20"/>
      </w:pPr>
      <w:r>
        <w:t>Δ3/Θ5 → βαρύτητα 12</w:t>
      </w:r>
    </w:p>
    <w:p>
      <w:pPr>
        <w:spacing w:after="160"/>
      </w:pPr>
    </w:p>
    <w:p>
      <w:r>
        <w:rPr>
          <w:b/>
          <w:color w:val="2E7D32"/>
          <w:sz w:val="22"/>
        </w:rPr>
        <w:t>ΣΑ-03 — Λαμβάνεται η μέγιστη κατηγορία κάθε πλευράς</w:t>
      </w:r>
    </w:p>
    <w:p>
      <w:pPr>
        <w:spacing w:after="40"/>
        <w:jc w:val="both"/>
      </w:pPr>
      <w:r>
        <w:rPr>
          <w:b/>
        </w:rPr>
        <w:t xml:space="preserve">Δεδομένου: </w:t>
      </w:r>
      <w:r>
        <w:t>Περιστατικό με πολλές υπηρεσίες σε κάθε πλευρά.</w:t>
      </w:r>
    </w:p>
    <w:p>
      <w:pPr>
        <w:spacing w:after="40"/>
        <w:jc w:val="both"/>
      </w:pPr>
      <w:r>
        <w:rPr>
          <w:b/>
        </w:rPr>
        <w:t xml:space="preserve">Όταν: </w:t>
      </w:r>
      <w:r>
        <w:t>Υπολογισμός.</w:t>
      </w:r>
    </w:p>
    <w:p>
      <w:pPr>
        <w:spacing w:after="40"/>
        <w:jc w:val="both"/>
      </w:pPr>
      <w:r>
        <w:rPr>
          <w:b/>
        </w:rPr>
        <w:t xml:space="preserve">Τότε: </w:t>
      </w:r>
      <w:r>
        <w:t>Υπεισέρχεται η μέγιστη κατηγορία κάθε πλευράς, όχι το άθροισμα ούτε ο αριθμός των υπηρεσιών.</w:t>
      </w:r>
    </w:p>
    <w:p>
      <w:pPr>
        <w:spacing w:after="60"/>
      </w:pPr>
      <w:r>
        <w:rPr>
          <w:b/>
        </w:rPr>
        <w:t xml:space="preserve">Παράγραφος προδιαγραφής: </w:t>
      </w:r>
      <w:r>
        <w:t>§4.1</w:t>
      </w:r>
    </w:p>
    <w:p>
      <w:r>
        <w:rPr>
          <w:b/>
          <w:color w:val="2E7D32"/>
        </w:rPr>
        <w:t>Επαληθεύτηκε (3 έλεγχοι):</w:t>
      </w:r>
    </w:p>
    <w:p>
      <w:pPr>
        <w:pStyle w:val="ListBullet"/>
        <w:spacing w:after="20"/>
      </w:pPr>
      <w:r>
        <w:t>μέγιστη διαγνωστική = 3</w:t>
      </w:r>
    </w:p>
    <w:p>
      <w:pPr>
        <w:pStyle w:val="ListBullet"/>
        <w:spacing w:after="20"/>
      </w:pPr>
      <w:r>
        <w:t>βαρύτητα = 12</w:t>
      </w:r>
    </w:p>
    <w:p>
      <w:pPr>
        <w:pStyle w:val="ListBullet"/>
        <w:spacing w:after="20"/>
      </w:pPr>
      <w:r>
        <w:t>δέκα υπηρεσίες κατηγορίας 1 παραμένουν βαρύτητα 4</w:t>
      </w:r>
    </w:p>
    <w:p>
      <w:pPr>
        <w:spacing w:after="160"/>
      </w:pPr>
    </w:p>
    <w:p>
      <w:r>
        <w:rPr>
          <w:b/>
          <w:color w:val="2E7D32"/>
          <w:sz w:val="22"/>
        </w:rPr>
        <w:t>ΣΑ-04 — Μόνο διαλογή χρεώνεται €10,00</w:t>
      </w:r>
    </w:p>
    <w:p>
      <w:pPr>
        <w:spacing w:after="40"/>
        <w:jc w:val="both"/>
      </w:pPr>
      <w:r>
        <w:rPr>
          <w:b/>
        </w:rPr>
        <w:t xml:space="preserve">Δεδομένου: </w:t>
      </w:r>
      <w:r>
        <w:t>Περιστατικό χωρίς καμία διαγνωστική παρέμβαση και καμία θεραπεία.</w:t>
      </w:r>
    </w:p>
    <w:p>
      <w:pPr>
        <w:spacing w:after="40"/>
        <w:jc w:val="both"/>
      </w:pPr>
      <w:r>
        <w:rPr>
          <w:b/>
        </w:rPr>
        <w:t xml:space="preserve">Όταν: </w:t>
      </w:r>
      <w:r>
        <w:t>Υπολογισμός.</w:t>
      </w:r>
    </w:p>
    <w:p>
      <w:pPr>
        <w:spacing w:after="40"/>
        <w:jc w:val="both"/>
      </w:pPr>
      <w:r>
        <w:rPr>
          <w:b/>
        </w:rPr>
        <w:t xml:space="preserve">Τότε: </w:t>
      </w:r>
      <w:r>
        <w:t>Βαρύτητα 1, κατηγοριοποίηση «Διαλογή» και τελικό κόστος €10,00 — δικό της ποσό, όχι η τιμή της βαρύτητας 4.</w:t>
      </w:r>
    </w:p>
    <w:p>
      <w:pPr>
        <w:spacing w:after="60"/>
      </w:pPr>
      <w:r>
        <w:rPr>
          <w:b/>
        </w:rPr>
        <w:t xml:space="preserve">Παράγραφος προδιαγραφής: </w:t>
      </w:r>
      <w:r>
        <w:t>§4.1</w:t>
      </w:r>
    </w:p>
    <w:p>
      <w:r>
        <w:rPr>
          <w:b/>
          <w:color w:val="2E7D32"/>
        </w:rPr>
        <w:t>Επαληθεύτηκε (3 έλεγχοι):</w:t>
      </w:r>
    </w:p>
    <w:p>
      <w:pPr>
        <w:pStyle w:val="ListBullet"/>
        <w:spacing w:after="20"/>
      </w:pPr>
      <w:r>
        <w:t>βαρύτητα = 1</w:t>
      </w:r>
    </w:p>
    <w:p>
      <w:pPr>
        <w:pStyle w:val="ListBullet"/>
        <w:spacing w:after="20"/>
      </w:pPr>
      <w:r>
        <w:t>κατηγοριοποίηση «Διαλογή»</w:t>
      </w:r>
    </w:p>
    <w:p>
      <w:pPr>
        <w:pStyle w:val="ListBullet"/>
        <w:spacing w:after="20"/>
      </w:pPr>
      <w:r>
        <w:t>τελικό κόστος = €10,00</w:t>
      </w:r>
    </w:p>
    <w:p>
      <w:pPr>
        <w:spacing w:after="160"/>
      </w:pPr>
    </w:p>
    <w:p>
      <w:r>
        <w:rPr>
          <w:b/>
          <w:color w:val="2E7D32"/>
          <w:sz w:val="22"/>
        </w:rPr>
        <w:t>ΣΑ-05 — Μονομερής επιλογή υπηρεσιών απορρίπτεται</w:t>
      </w:r>
    </w:p>
    <w:p>
      <w:pPr>
        <w:spacing w:after="40"/>
        <w:jc w:val="both"/>
      </w:pPr>
      <w:r>
        <w:rPr>
          <w:b/>
        </w:rPr>
        <w:t xml:space="preserve">Δεδομένου: </w:t>
      </w:r>
      <w:r>
        <w:t>Περιστατικό όπου επιλέχθηκε μόνο διαγνωστική παρέμβαση.</w:t>
      </w:r>
    </w:p>
    <w:p>
      <w:pPr>
        <w:spacing w:after="40"/>
        <w:jc w:val="both"/>
      </w:pPr>
      <w:r>
        <w:rPr>
          <w:b/>
        </w:rPr>
        <w:t xml:space="preserve">Όταν: </w:t>
      </w:r>
      <w:r>
        <w:t>Ο κωδικοποιητής πατά «Υπολογισμός».</w:t>
      </w:r>
    </w:p>
    <w:p>
      <w:pPr>
        <w:spacing w:after="40"/>
        <w:jc w:val="both"/>
      </w:pPr>
      <w:r>
        <w:rPr>
          <w:b/>
        </w:rPr>
        <w:t xml:space="preserve">Τότε: </w:t>
      </w:r>
      <w:r>
        <w:t>Η κοστολόγηση απορρίπτεται με μήνυμα στα ελληνικά και δεν αποθηκεύεται αποτέλεσμα.</w:t>
      </w:r>
    </w:p>
    <w:p>
      <w:pPr>
        <w:spacing w:after="60"/>
      </w:pPr>
      <w:r>
        <w:rPr>
          <w:b/>
        </w:rPr>
        <w:t xml:space="preserve">Παράγραφος προδιαγραφής: </w:t>
      </w:r>
      <w:r>
        <w:t>§4.1, §10</w:t>
      </w:r>
    </w:p>
    <w:p>
      <w:r>
        <w:rPr>
          <w:b/>
          <w:color w:val="2E7D32"/>
        </w:rPr>
        <w:t>Επαληθεύτηκε (2 έλεγχοι):</w:t>
      </w:r>
    </w:p>
    <w:p>
      <w:pPr>
        <w:pStyle w:val="ListBullet"/>
        <w:spacing w:after="20"/>
      </w:pPr>
      <w:r>
        <w:t>το μήνυμα αναφέρει ότι λείπει θεραπεία</w:t>
      </w:r>
    </w:p>
    <w:p>
      <w:pPr>
        <w:pStyle w:val="ListBullet"/>
        <w:spacing w:after="20"/>
      </w:pPr>
      <w:r>
        <w:t>δεν αποθηκεύτηκε αποτέλεσμα</w:t>
      </w:r>
    </w:p>
    <w:p>
      <w:pPr>
        <w:spacing w:after="160"/>
      </w:pPr>
    </w:p>
    <w:p>
      <w:r>
        <w:rPr>
          <w:b/>
          <w:color w:val="2E7D32"/>
          <w:sz w:val="22"/>
        </w:rPr>
        <w:t>ΣΑ-06 — Παλιό περιστατικό κοστολογείται με την παλιά τιμή</w:t>
      </w:r>
    </w:p>
    <w:p>
      <w:pPr>
        <w:spacing w:after="40"/>
        <w:jc w:val="both"/>
      </w:pPr>
      <w:r>
        <w:rPr>
          <w:b/>
        </w:rPr>
        <w:t xml:space="preserve">Δεδομένου: </w:t>
      </w:r>
      <w:r>
        <w:t>Η τιμή της βαρύτητας 8 αλλάζει από 01/01/2027.</w:t>
      </w:r>
    </w:p>
    <w:p>
      <w:pPr>
        <w:spacing w:after="40"/>
        <w:jc w:val="both"/>
      </w:pPr>
      <w:r>
        <w:rPr>
          <w:b/>
        </w:rPr>
        <w:t xml:space="preserve">Όταν: </w:t>
      </w:r>
      <w:r>
        <w:t>Κοστολόγηση περιστατικού με ημερομηνία εξέτασης το 2026 και άλλου το 2027.</w:t>
      </w:r>
    </w:p>
    <w:p>
      <w:pPr>
        <w:spacing w:after="40"/>
        <w:jc w:val="both"/>
      </w:pPr>
      <w:r>
        <w:rPr>
          <w:b/>
        </w:rPr>
        <w:t xml:space="preserve">Τότε: </w:t>
      </w:r>
      <w:r>
        <w:t>Το περιστατικό του 2026 κοστολογείται με την τιμή του 2026 και του 2027 με τη νέα.</w:t>
      </w:r>
    </w:p>
    <w:p>
      <w:pPr>
        <w:spacing w:after="60"/>
      </w:pPr>
      <w:r>
        <w:rPr>
          <w:b/>
        </w:rPr>
        <w:t xml:space="preserve">Παράγραφος προδιαγραφής: </w:t>
      </w:r>
      <w:r>
        <w:t>§6</w:t>
      </w:r>
    </w:p>
    <w:p>
      <w:r>
        <w:rPr>
          <w:b/>
          <w:color w:val="2E7D32"/>
        </w:rPr>
        <w:t>Επαληθεύτηκε (3 έλεγχοι):</w:t>
      </w:r>
    </w:p>
    <w:p>
      <w:pPr>
        <w:pStyle w:val="ListBullet"/>
        <w:spacing w:after="20"/>
      </w:pPr>
      <w:r>
        <w:t>2026 → €120,00</w:t>
      </w:r>
    </w:p>
    <w:p>
      <w:pPr>
        <w:pStyle w:val="ListBullet"/>
        <w:spacing w:after="20"/>
      </w:pPr>
      <w:r>
        <w:t>2027 → €200,00</w:t>
      </w:r>
    </w:p>
    <w:p>
      <w:pPr>
        <w:pStyle w:val="ListBullet"/>
        <w:spacing w:after="20"/>
      </w:pPr>
      <w:r>
        <w:t>δεν υπάρχουν επικαλυπτόμενες περίοδοι</w:t>
      </w:r>
    </w:p>
    <w:p>
      <w:pPr>
        <w:spacing w:after="160"/>
      </w:pPr>
    </w:p>
    <w:p>
      <w:r>
        <w:rPr>
          <w:b/>
          <w:color w:val="2E7D32"/>
          <w:sz w:val="22"/>
        </w:rPr>
        <w:t>ΣΑ-07 — Καμία τιμή σε ισχύ σημαίνει άρνηση, όχι προεπιλογή</w:t>
      </w:r>
    </w:p>
    <w:p>
      <w:pPr>
        <w:spacing w:after="40"/>
        <w:jc w:val="both"/>
      </w:pPr>
      <w:r>
        <w:rPr>
          <w:b/>
        </w:rPr>
        <w:t xml:space="preserve">Δεδομένου: </w:t>
      </w:r>
      <w:r>
        <w:t>Οικονομική κατηγορία χωρίς τιμή σε ισχύ κατά την ημερομηνία εξέτασης.</w:t>
      </w:r>
    </w:p>
    <w:p>
      <w:pPr>
        <w:spacing w:after="40"/>
        <w:jc w:val="both"/>
      </w:pPr>
      <w:r>
        <w:rPr>
          <w:b/>
        </w:rPr>
        <w:t xml:space="preserve">Όταν: </w:t>
      </w:r>
      <w:r>
        <w:t>Υπολογισμός.</w:t>
      </w:r>
    </w:p>
    <w:p>
      <w:pPr>
        <w:spacing w:after="40"/>
        <w:jc w:val="both"/>
      </w:pPr>
      <w:r>
        <w:rPr>
          <w:b/>
        </w:rPr>
        <w:t xml:space="preserve">Τότε: </w:t>
      </w:r>
      <w:r>
        <w:t>Η κοστολόγηση απορρίπτεται και αναφέρει τι λείπει. Δεν εφαρμόζεται προεπιλεγμένη τιμή.</w:t>
      </w:r>
    </w:p>
    <w:p>
      <w:pPr>
        <w:spacing w:after="60"/>
      </w:pPr>
      <w:r>
        <w:rPr>
          <w:b/>
        </w:rPr>
        <w:t xml:space="preserve">Παράγραφος προδιαγραφής: </w:t>
      </w:r>
      <w:r>
        <w:t>§6, §10</w:t>
      </w:r>
    </w:p>
    <w:p>
      <w:r>
        <w:rPr>
          <w:b/>
          <w:color w:val="2E7D32"/>
        </w:rPr>
        <w:t>Επαληθεύτηκε (2 έλεγχοι):</w:t>
      </w:r>
    </w:p>
    <w:p>
      <w:pPr>
        <w:pStyle w:val="ListBullet"/>
        <w:spacing w:after="20"/>
      </w:pPr>
      <w:r>
        <w:t>απορρίφθηκε ως «καμία τιμή σε ισχύ»</w:t>
      </w:r>
    </w:p>
    <w:p>
      <w:pPr>
        <w:pStyle w:val="ListBullet"/>
        <w:spacing w:after="20"/>
      </w:pPr>
      <w:r>
        <w:t>δεν εφαρμόστηκε προεπιλογή</w:t>
      </w:r>
    </w:p>
    <w:p>
      <w:pPr>
        <w:spacing w:after="160"/>
      </w:pPr>
    </w:p>
    <w:p>
      <w:r>
        <w:rPr>
          <w:b/>
          <w:color w:val="2E7D32"/>
          <w:sz w:val="22"/>
        </w:rPr>
        <w:t>ΣΑ-08 — Η αλλαγή τιμής δεν αντικαθιστά την προηγούμενη</w:t>
      </w:r>
    </w:p>
    <w:p>
      <w:pPr>
        <w:spacing w:after="40"/>
        <w:jc w:val="both"/>
      </w:pPr>
      <w:r>
        <w:rPr>
          <w:b/>
        </w:rPr>
        <w:t xml:space="preserve">Δεδομένου: </w:t>
      </w:r>
      <w:r>
        <w:t>Τέλος εγγραφής €10,00 σε ισχύ για την κατηγορία 603.</w:t>
      </w:r>
    </w:p>
    <w:p>
      <w:pPr>
        <w:spacing w:after="40"/>
        <w:jc w:val="both"/>
      </w:pPr>
      <w:r>
        <w:rPr>
          <w:b/>
        </w:rPr>
        <w:t xml:space="preserve">Όταν: </w:t>
      </w:r>
      <w:r>
        <w:t>Ο διαχειριστής τιμών καταχωρεί €25,00 από 01/01/2027 με έγγραφο απόφασης.</w:t>
      </w:r>
    </w:p>
    <w:p>
      <w:pPr>
        <w:spacing w:after="40"/>
        <w:jc w:val="both"/>
      </w:pPr>
      <w:r>
        <w:rPr>
          <w:b/>
        </w:rPr>
        <w:t xml:space="preserve">Τότε: </w:t>
      </w:r>
      <w:r>
        <w:t>Η παλιά περίοδος κλείνει στις 31/12/2026, διατηρεί το ποσό της, και καταγράφεται ποιος έκανε την αλλαγή και με ποιο έγγραφο.</w:t>
      </w:r>
    </w:p>
    <w:p>
      <w:pPr>
        <w:spacing w:after="60"/>
      </w:pPr>
      <w:r>
        <w:rPr>
          <w:b/>
        </w:rPr>
        <w:t xml:space="preserve">Παράγραφος προδιαγραφής: </w:t>
      </w:r>
      <w:r>
        <w:t>§6, §7</w:t>
      </w:r>
    </w:p>
    <w:p>
      <w:r>
        <w:rPr>
          <w:b/>
          <w:color w:val="2E7D32"/>
        </w:rPr>
        <w:t>Επαληθεύτηκε (4 έλεγχοι):</w:t>
      </w:r>
    </w:p>
    <w:p>
      <w:pPr>
        <w:pStyle w:val="ListBullet"/>
        <w:spacing w:after="20"/>
      </w:pPr>
      <w:r>
        <w:t>η παλιά τιμή παραμένει €10,00</w:t>
      </w:r>
    </w:p>
    <w:p>
      <w:pPr>
        <w:pStyle w:val="ListBullet"/>
        <w:spacing w:after="20"/>
      </w:pPr>
      <w:r>
        <w:t>η παλιά περίοδος κλείνει 31/12/2026</w:t>
      </w:r>
    </w:p>
    <w:p>
      <w:pPr>
        <w:pStyle w:val="ListBullet"/>
        <w:spacing w:after="20"/>
      </w:pPr>
      <w:r>
        <w:t>καταγράφηκε ποιος την έκλεισε</w:t>
      </w:r>
    </w:p>
    <w:p>
      <w:pPr>
        <w:pStyle w:val="ListBullet"/>
        <w:spacing w:after="20"/>
      </w:pPr>
      <w:r>
        <w:t>καταγράφηκε το έγγραφο απόφασης</w:t>
      </w:r>
    </w:p>
    <w:p>
      <w:pPr>
        <w:spacing w:after="160"/>
      </w:pPr>
    </w:p>
    <w:p>
      <w:r>
        <w:rPr>
          <w:b/>
          <w:color w:val="2E7D32"/>
          <w:sz w:val="22"/>
        </w:rPr>
        <w:t>ΣΑ-09 — Αναδρομική αλλαγή σε κλεισμένη περίοδο απορρίπτεται</w:t>
      </w:r>
    </w:p>
    <w:p>
      <w:pPr>
        <w:spacing w:after="40"/>
        <w:jc w:val="both"/>
      </w:pPr>
      <w:r>
        <w:rPr>
          <w:b/>
        </w:rPr>
        <w:t xml:space="preserve">Δεδομένου: </w:t>
      </w:r>
      <w:r>
        <w:t>Περίοδος τιμής που έχει κλείσει.</w:t>
      </w:r>
    </w:p>
    <w:p>
      <w:pPr>
        <w:spacing w:after="40"/>
        <w:jc w:val="both"/>
      </w:pPr>
      <w:r>
        <w:rPr>
          <w:b/>
        </w:rPr>
        <w:t xml:space="preserve">Όταν: </w:t>
      </w:r>
      <w:r>
        <w:t>Ο διαχειριστής επιχειρεί να καταχωρήσει τιμή με ημερομηνία ισχύος μέσα σε αυτήν.</w:t>
      </w:r>
    </w:p>
    <w:p>
      <w:pPr>
        <w:spacing w:after="40"/>
        <w:jc w:val="both"/>
      </w:pPr>
      <w:r>
        <w:rPr>
          <w:b/>
        </w:rPr>
        <w:t xml:space="preserve">Τότε: </w:t>
      </w:r>
      <w:r>
        <w:t>Η αλλαγή απορρίπτεται, ώστε να μην αλλοιωθεί αναδρομικά το κόστος περιστατικού που έχει ήδη κοστολογηθεί.</w:t>
      </w:r>
    </w:p>
    <w:p>
      <w:pPr>
        <w:spacing w:after="60"/>
      </w:pPr>
      <w:r>
        <w:rPr>
          <w:b/>
        </w:rPr>
        <w:t xml:space="preserve">Παράγραφος προδιαγραφής: </w:t>
      </w:r>
      <w:r>
        <w:t>§6</w:t>
      </w:r>
    </w:p>
    <w:p>
      <w:r>
        <w:rPr>
          <w:b/>
          <w:color w:val="2E7D32"/>
        </w:rPr>
        <w:t>Επαληθεύτηκε (1 έλεγχοι):</w:t>
      </w:r>
    </w:p>
    <w:p>
      <w:pPr>
        <w:pStyle w:val="ListBullet"/>
        <w:spacing w:after="20"/>
      </w:pPr>
      <w:r>
        <w:t>απορρίφθηκε ως αναδρομική σε κλεισμένη περίοδο</w:t>
      </w:r>
    </w:p>
    <w:p>
      <w:pPr>
        <w:spacing w:after="160"/>
      </w:pPr>
    </w:p>
    <w:p>
      <w:r>
        <w:rPr>
          <w:b/>
          <w:color w:val="2E7D32"/>
          <w:sz w:val="22"/>
        </w:rPr>
        <w:t>ΣΑ-10 — Οι αριθμοί κοστολόγησης είναι συνεχείς και μοναδικοί</w:t>
      </w:r>
    </w:p>
    <w:p>
      <w:pPr>
        <w:spacing w:after="40"/>
        <w:jc w:val="both"/>
      </w:pPr>
      <w:r>
        <w:rPr>
          <w:b/>
        </w:rPr>
        <w:t xml:space="preserve">Δεδομένου: </w:t>
      </w:r>
      <w:r>
        <w:t>Οκτώ ταυτόχρονες συνεδρίες οριστικοποιούν κοστολογήσεις στην ίδια μονάδα.</w:t>
      </w:r>
    </w:p>
    <w:p>
      <w:pPr>
        <w:spacing w:after="40"/>
        <w:jc w:val="both"/>
      </w:pPr>
      <w:r>
        <w:rPr>
          <w:b/>
        </w:rPr>
        <w:t xml:space="preserve">Όταν: </w:t>
      </w:r>
      <w:r>
        <w:t>Απόδοση αριθμού σε κάθε οριστικοποίηση.</w:t>
      </w:r>
    </w:p>
    <w:p>
      <w:pPr>
        <w:spacing w:after="40"/>
        <w:jc w:val="both"/>
      </w:pPr>
      <w:r>
        <w:rPr>
          <w:b/>
        </w:rPr>
        <w:t xml:space="preserve">Τότε: </w:t>
      </w:r>
      <w:r>
        <w:t>Κάθε αριθμός αποδίδεται μία φορά και η σειρά δεν έχει κενά.</w:t>
      </w:r>
    </w:p>
    <w:p>
      <w:pPr>
        <w:spacing w:after="60"/>
      </w:pPr>
      <w:r>
        <w:rPr>
          <w:b/>
        </w:rPr>
        <w:t xml:space="preserve">Παράγραφος προδιαγραφής: </w:t>
      </w:r>
      <w:r>
        <w:t>§5, §13</w:t>
      </w:r>
    </w:p>
    <w:p>
      <w:r>
        <w:rPr>
          <w:b/>
          <w:color w:val="2E7D32"/>
        </w:rPr>
        <w:t>Επαληθεύτηκε (3 έλεγχοι):</w:t>
      </w:r>
    </w:p>
    <w:p>
      <w:pPr>
        <w:pStyle w:val="ListBullet"/>
        <w:spacing w:after="20"/>
      </w:pPr>
      <w:r>
        <w:t>καμία αποτυχία υπό ταυτόχρονη χρήση</w:t>
      </w:r>
    </w:p>
    <w:p>
      <w:pPr>
        <w:pStyle w:val="ListBullet"/>
        <w:spacing w:after="20"/>
      </w:pPr>
      <w:r>
        <w:t>200 μοναδικοί αριθμοί</w:t>
      </w:r>
    </w:p>
    <w:p>
      <w:pPr>
        <w:pStyle w:val="ListBullet"/>
        <w:spacing w:after="20"/>
      </w:pPr>
      <w:r>
        <w:t>η σειρά δεν έχει κενά</w:t>
      </w:r>
    </w:p>
    <w:p>
      <w:pPr>
        <w:spacing w:after="160"/>
      </w:pPr>
    </w:p>
    <w:p>
      <w:r>
        <w:rPr>
          <w:b/>
          <w:color w:val="2E7D32"/>
          <w:sz w:val="22"/>
        </w:rPr>
        <w:t>ΣΑ-11 — Κάθε μονάδα ΤΑΕΠ έχει δική της σειρά</w:t>
      </w:r>
    </w:p>
    <w:p>
      <w:pPr>
        <w:spacing w:after="40"/>
        <w:jc w:val="both"/>
      </w:pPr>
      <w:r>
        <w:rPr>
          <w:b/>
        </w:rPr>
        <w:t xml:space="preserve">Δεδομένου: </w:t>
      </w:r>
      <w:r>
        <w:t>Το Γενικό Νοσοκομείο Λευκωσίας λειτουργεί δύο μονάδες ΤΑΕΠ, ενηλίκων (1054) και παίδων (1106).</w:t>
      </w:r>
    </w:p>
    <w:p>
      <w:pPr>
        <w:spacing w:after="40"/>
        <w:jc w:val="both"/>
      </w:pPr>
      <w:r>
        <w:rPr>
          <w:b/>
        </w:rPr>
        <w:t xml:space="preserve">Όταν: </w:t>
      </w:r>
      <w:r>
        <w:t>Οριστικοποίηση κοστολόγησης σε κάθε μονάδα.</w:t>
      </w:r>
    </w:p>
    <w:p>
      <w:pPr>
        <w:spacing w:after="40"/>
        <w:jc w:val="both"/>
      </w:pPr>
      <w:r>
        <w:rPr>
          <w:b/>
        </w:rPr>
        <w:t xml:space="preserve">Τότε: </w:t>
      </w:r>
      <w:r>
        <w:t>Κάθε μονάδα αποδίδει αριθμό από τη δική της σειρά.</w:t>
      </w:r>
    </w:p>
    <w:p>
      <w:pPr>
        <w:spacing w:after="60"/>
      </w:pPr>
      <w:r>
        <w:rPr>
          <w:b/>
        </w:rPr>
        <w:t xml:space="preserve">Παράγραφος προδιαγραφής: </w:t>
      </w:r>
      <w:r>
        <w:t>§5</w:t>
      </w:r>
    </w:p>
    <w:p>
      <w:r>
        <w:rPr>
          <w:b/>
          <w:color w:val="2E7D32"/>
        </w:rPr>
        <w:t>Επαληθεύτηκε (2 έλεγχοι):</w:t>
      </w:r>
    </w:p>
    <w:p>
      <w:pPr>
        <w:pStyle w:val="ListBullet"/>
        <w:spacing w:after="20"/>
      </w:pPr>
      <w:r>
        <w:t>ενηλίκων → OKY1054/0001</w:t>
      </w:r>
    </w:p>
    <w:p>
      <w:pPr>
        <w:pStyle w:val="ListBullet"/>
        <w:spacing w:after="20"/>
      </w:pPr>
      <w:r>
        <w:t>παίδων → OKY1106/0001</w:t>
      </w:r>
    </w:p>
    <w:p>
      <w:pPr>
        <w:spacing w:after="160"/>
      </w:pPr>
    </w:p>
    <w:p>
      <w:r>
        <w:rPr>
          <w:b/>
          <w:color w:val="2E7D32"/>
          <w:sz w:val="22"/>
        </w:rPr>
        <w:t>ΣΑ-12 — Ακυρωμένος αριθμός δεν επαναχρησιμοποιείται</w:t>
      </w:r>
    </w:p>
    <w:p>
      <w:pPr>
        <w:spacing w:after="40"/>
        <w:jc w:val="both"/>
      </w:pPr>
      <w:r>
        <w:rPr>
          <w:b/>
        </w:rPr>
        <w:t xml:space="preserve">Δεδομένου: </w:t>
      </w:r>
      <w:r>
        <w:t>Οριστικοποιημένη κοστολόγηση που ακυρώνεται με αιτιολογία.</w:t>
      </w:r>
    </w:p>
    <w:p>
      <w:pPr>
        <w:spacing w:after="40"/>
        <w:jc w:val="both"/>
      </w:pPr>
      <w:r>
        <w:rPr>
          <w:b/>
        </w:rPr>
        <w:t xml:space="preserve">Όταν: </w:t>
      </w:r>
      <w:r>
        <w:t>Οριστικοποίηση επόμενης κοστολόγησης στην ίδια μονάδα.</w:t>
      </w:r>
    </w:p>
    <w:p>
      <w:pPr>
        <w:spacing w:after="40"/>
        <w:jc w:val="both"/>
      </w:pPr>
      <w:r>
        <w:rPr>
          <w:b/>
        </w:rPr>
        <w:t xml:space="preserve">Τότε: </w:t>
      </w:r>
      <w:r>
        <w:t>Η ακυρωμένη διατηρεί τον αριθμό της και η επόμενη παίρνει τον επόμενο αριθμό, όχι τον ακυρωμένο.</w:t>
      </w:r>
    </w:p>
    <w:p>
      <w:pPr>
        <w:spacing w:after="60"/>
      </w:pPr>
      <w:r>
        <w:rPr>
          <w:b/>
        </w:rPr>
        <w:t xml:space="preserve">Παράγραφος προδιαγραφής: </w:t>
      </w:r>
      <w:r>
        <w:t>§5, §7</w:t>
      </w:r>
    </w:p>
    <w:p>
      <w:r>
        <w:rPr>
          <w:b/>
          <w:color w:val="2E7D32"/>
        </w:rPr>
        <w:t>Επαληθεύτηκε (4 έλεγχοι):</w:t>
      </w:r>
    </w:p>
    <w:p>
      <w:pPr>
        <w:pStyle w:val="ListBullet"/>
        <w:spacing w:after="20"/>
      </w:pPr>
      <w:r>
        <w:t>η πρώτη είναι ακυρωμένη</w:t>
      </w:r>
    </w:p>
    <w:p>
      <w:pPr>
        <w:pStyle w:val="ListBullet"/>
        <w:spacing w:after="20"/>
      </w:pPr>
      <w:r>
        <w:t>η ακυρωμένη διατηρεί τον αριθμό της</w:t>
      </w:r>
    </w:p>
    <w:p>
      <w:pPr>
        <w:pStyle w:val="ListBullet"/>
        <w:spacing w:after="20"/>
      </w:pPr>
      <w:r>
        <w:t>η επόμενη πήρε OKY1054/0002</w:t>
      </w:r>
    </w:p>
    <w:p>
      <w:pPr>
        <w:pStyle w:val="ListBullet"/>
        <w:spacing w:after="20"/>
      </w:pPr>
      <w:r>
        <w:t>καταγράφηκε η αιτιολογία</w:t>
      </w:r>
    </w:p>
    <w:p>
      <w:pPr>
        <w:spacing w:after="160"/>
      </w:pPr>
    </w:p>
    <w:p>
      <w:r>
        <w:rPr>
          <w:b/>
          <w:color w:val="2E7D32"/>
          <w:sz w:val="22"/>
        </w:rPr>
        <w:t>ΣΑ-13 — Μεταβολή υπηρεσιών ακυρώνει τον υπολογισμό</w:t>
      </w:r>
    </w:p>
    <w:p>
      <w:pPr>
        <w:spacing w:after="40"/>
        <w:jc w:val="both"/>
      </w:pPr>
      <w:r>
        <w:rPr>
          <w:b/>
        </w:rPr>
        <w:t xml:space="preserve">Δεδομένου: </w:t>
      </w:r>
      <w:r>
        <w:t>Κοστολόγηση που έχει υπολογιστεί.</w:t>
      </w:r>
    </w:p>
    <w:p>
      <w:pPr>
        <w:spacing w:after="40"/>
        <w:jc w:val="both"/>
      </w:pPr>
      <w:r>
        <w:rPr>
          <w:b/>
        </w:rPr>
        <w:t xml:space="preserve">Όταν: </w:t>
      </w:r>
      <w:r>
        <w:t>Προσθήκη υπηρεσίας μετά τον υπολογισμό.</w:t>
      </w:r>
    </w:p>
    <w:p>
      <w:pPr>
        <w:spacing w:after="40"/>
        <w:jc w:val="both"/>
      </w:pPr>
      <w:r>
        <w:rPr>
          <w:b/>
        </w:rPr>
        <w:t xml:space="preserve">Τότε: </w:t>
      </w:r>
      <w:r>
        <w:t>Το αποθηκευμένο αποτέλεσμα διαγράφεται και απαιτείται νέος υπολογισμός. Δεν εμφανίζεται ποτέ παρωχημένο ποσό.</w:t>
      </w:r>
    </w:p>
    <w:p>
      <w:pPr>
        <w:spacing w:after="60"/>
      </w:pPr>
      <w:r>
        <w:rPr>
          <w:b/>
        </w:rPr>
        <w:t xml:space="preserve">Παράγραφος προδιαγραφής: </w:t>
      </w:r>
      <w:r>
        <w:t>§4.1</w:t>
      </w:r>
    </w:p>
    <w:p>
      <w:r>
        <w:rPr>
          <w:b/>
          <w:color w:val="2E7D32"/>
        </w:rPr>
        <w:t>Επαληθεύτηκε (3 έλεγχοι):</w:t>
      </w:r>
    </w:p>
    <w:p>
      <w:pPr>
        <w:pStyle w:val="ListBullet"/>
        <w:spacing w:after="20"/>
      </w:pPr>
      <w:r>
        <w:t>υπήρχε αποθηκευμένος υπολογισμός</w:t>
      </w:r>
    </w:p>
    <w:p>
      <w:pPr>
        <w:pStyle w:val="ListBullet"/>
        <w:spacing w:after="20"/>
      </w:pPr>
      <w:r>
        <w:t>ο υπολογισμός διαγράφηκε</w:t>
      </w:r>
    </w:p>
    <w:p>
      <w:pPr>
        <w:pStyle w:val="ListBullet"/>
        <w:spacing w:after="20"/>
      </w:pPr>
      <w:r>
        <w:t>η οθόνη ζητά νέο υπολογισμό</w:t>
      </w:r>
    </w:p>
    <w:p>
      <w:pPr>
        <w:spacing w:after="160"/>
      </w:pPr>
    </w:p>
    <w:p>
      <w:r>
        <w:rPr>
          <w:b/>
          <w:color w:val="2E7D32"/>
          <w:sz w:val="22"/>
        </w:rPr>
        <w:t>ΣΑ-14 — Οριστικοποιημένη κοστολόγηση δεν τροποποιείται</w:t>
      </w:r>
    </w:p>
    <w:p>
      <w:pPr>
        <w:spacing w:after="40"/>
        <w:jc w:val="both"/>
      </w:pPr>
      <w:r>
        <w:rPr>
          <w:b/>
        </w:rPr>
        <w:t xml:space="preserve">Δεδομένου: </w:t>
      </w:r>
      <w:r>
        <w:t>Οριστικοποιημένη κοστολόγηση.</w:t>
      </w:r>
    </w:p>
    <w:p>
      <w:pPr>
        <w:spacing w:after="40"/>
        <w:jc w:val="both"/>
      </w:pPr>
      <w:r>
        <w:rPr>
          <w:b/>
        </w:rPr>
        <w:t xml:space="preserve">Όταν: </w:t>
      </w:r>
      <w:r>
        <w:t>Απόπειρα τροποποίησης στοιχείων ή υπηρεσιών.</w:t>
      </w:r>
    </w:p>
    <w:p>
      <w:pPr>
        <w:spacing w:after="40"/>
        <w:jc w:val="both"/>
      </w:pPr>
      <w:r>
        <w:rPr>
          <w:b/>
        </w:rPr>
        <w:t xml:space="preserve">Τότε: </w:t>
      </w:r>
      <w:r>
        <w:t>Η τροποποίηση απορρίπτεται. Η διόρθωση γίνεται με ακύρωση και νέα καταχώρηση.</w:t>
      </w:r>
    </w:p>
    <w:p>
      <w:pPr>
        <w:spacing w:after="60"/>
      </w:pPr>
      <w:r>
        <w:rPr>
          <w:b/>
        </w:rPr>
        <w:t xml:space="preserve">Παράγραφος προδιαγραφής: </w:t>
      </w:r>
      <w:r>
        <w:t>§10</w:t>
      </w:r>
    </w:p>
    <w:p>
      <w:r>
        <w:rPr>
          <w:b/>
          <w:color w:val="2E7D32"/>
        </w:rPr>
        <w:t>Επαληθεύτηκε (3 έλεγχοι):</w:t>
      </w:r>
    </w:p>
    <w:p>
      <w:pPr>
        <w:pStyle w:val="ListBullet"/>
        <w:spacing w:after="20"/>
      </w:pPr>
      <w:r>
        <w:t>η αλλαγή υπηρεσιών απορρίφθηκε</w:t>
      </w:r>
    </w:p>
    <w:p>
      <w:pPr>
        <w:pStyle w:val="ListBullet"/>
        <w:spacing w:after="20"/>
      </w:pPr>
      <w:r>
        <w:t>η τροποποίηση στοιχείων απορρίφθηκε</w:t>
      </w:r>
    </w:p>
    <w:p>
      <w:pPr>
        <w:pStyle w:val="ListBullet"/>
        <w:spacing w:after="20"/>
      </w:pPr>
      <w:r>
        <w:t>οι υπηρεσίες παρέμειναν αμετάβλητες</w:t>
      </w:r>
    </w:p>
    <w:p>
      <w:pPr>
        <w:spacing w:after="160"/>
      </w:pPr>
    </w:p>
    <w:p>
      <w:r>
        <w:rPr>
          <w:b/>
          <w:color w:val="2E7D32"/>
          <w:sz w:val="22"/>
        </w:rPr>
        <w:t>ΣΑ-15 — Μη έγκυρη οικονομική κατηγορία απορρίπτεται από τον διακομιστή</w:t>
      </w:r>
    </w:p>
    <w:p>
      <w:pPr>
        <w:spacing w:after="40"/>
        <w:jc w:val="both"/>
      </w:pPr>
      <w:r>
        <w:rPr>
          <w:b/>
        </w:rPr>
        <w:t xml:space="preserve">Δεδομένου: </w:t>
      </w:r>
      <w:r>
        <w:t>Οικονομική κατηγορία που δεν ισχύει στα ΤΑΕΠ, π.χ. 633 Οδοντιατρικές Υπηρεσίες.</w:t>
      </w:r>
    </w:p>
    <w:p>
      <w:pPr>
        <w:spacing w:after="40"/>
        <w:jc w:val="both"/>
      </w:pPr>
      <w:r>
        <w:rPr>
          <w:b/>
        </w:rPr>
        <w:t xml:space="preserve">Όταν: </w:t>
      </w:r>
      <w:r>
        <w:t>Απόπειρα καταχώρησης με αυτή την κατηγορία.</w:t>
      </w:r>
    </w:p>
    <w:p>
      <w:pPr>
        <w:spacing w:after="40"/>
        <w:jc w:val="both"/>
      </w:pPr>
      <w:r>
        <w:rPr>
          <w:b/>
        </w:rPr>
        <w:t xml:space="preserve">Τότε: </w:t>
      </w:r>
      <w:r>
        <w:t>Απορρίπτεται από τον διακομιστή, όχι μόνο από τη διεπαφή. Ο κατάλογος προσφέρει 23 από τις 38 κατηγορίες.</w:t>
      </w:r>
    </w:p>
    <w:p>
      <w:pPr>
        <w:spacing w:after="60"/>
      </w:pPr>
      <w:r>
        <w:rPr>
          <w:b/>
        </w:rPr>
        <w:t xml:space="preserve">Παράγραφος προδιαγραφής: </w:t>
      </w:r>
      <w:r>
        <w:t>§4.4</w:t>
      </w:r>
    </w:p>
    <w:p>
      <w:r>
        <w:rPr>
          <w:b/>
          <w:color w:val="2E7D32"/>
        </w:rPr>
        <w:t>Επαληθεύτηκε (3 έλεγχοι):</w:t>
      </w:r>
    </w:p>
    <w:p>
      <w:pPr>
        <w:pStyle w:val="ListBullet"/>
        <w:spacing w:after="20"/>
      </w:pPr>
      <w:r>
        <w:t>23 έγκυρες κατηγορίες</w:t>
      </w:r>
    </w:p>
    <w:p>
      <w:pPr>
        <w:pStyle w:val="ListBullet"/>
        <w:spacing w:after="20"/>
      </w:pPr>
      <w:r>
        <w:t>η κατηγορία δεν προσφέρεται στη διεπαφή</w:t>
      </w:r>
    </w:p>
    <w:p>
      <w:pPr>
        <w:pStyle w:val="ListBullet"/>
        <w:spacing w:after="20"/>
      </w:pPr>
      <w:r>
        <w:t>ο διακομιστής απορρίπτει την κατηγορία</w:t>
      </w:r>
    </w:p>
    <w:p>
      <w:pPr>
        <w:spacing w:after="160"/>
      </w:pPr>
    </w:p>
    <w:p>
      <w:r>
        <w:rPr>
          <w:b/>
          <w:color w:val="2E7D32"/>
          <w:sz w:val="22"/>
        </w:rPr>
        <w:t>ΣΑ-16 — Καταχώρηση άλλου νοσηλευτηρίου δεν αποκαλύπτεται</w:t>
      </w:r>
    </w:p>
    <w:p>
      <w:pPr>
        <w:spacing w:after="40"/>
        <w:jc w:val="both"/>
      </w:pPr>
      <w:r>
        <w:rPr>
          <w:b/>
        </w:rPr>
        <w:t xml:space="preserve">Δεδομένου: </w:t>
      </w:r>
      <w:r>
        <w:t>Κοστολόγηση καταχωρημένη στο Γενικό Νοσοκομείο Λεμεσού.</w:t>
      </w:r>
    </w:p>
    <w:p>
      <w:pPr>
        <w:spacing w:after="40"/>
        <w:jc w:val="both"/>
      </w:pPr>
      <w:r>
        <w:rPr>
          <w:b/>
        </w:rPr>
        <w:t xml:space="preserve">Όταν: </w:t>
      </w:r>
      <w:r>
        <w:t>Χρήστης του Γενικού Νοσοκομείου Λευκωσίας ζητά την καταχώρηση.</w:t>
      </w:r>
    </w:p>
    <w:p>
      <w:pPr>
        <w:spacing w:after="40"/>
        <w:jc w:val="both"/>
      </w:pPr>
      <w:r>
        <w:rPr>
          <w:b/>
        </w:rPr>
        <w:t xml:space="preserve">Τότε: </w:t>
      </w:r>
      <w:r>
        <w:t>Λαμβάνει 404 και όχι 403, ώστε να μην αποκαλύπτεται ούτε η ύπαρξη της καταχώρησης. Η λίστα και η εξαγωγή είναι επίσης περιορισμένες.</w:t>
      </w:r>
    </w:p>
    <w:p>
      <w:pPr>
        <w:spacing w:after="60"/>
      </w:pPr>
      <w:r>
        <w:rPr>
          <w:b/>
        </w:rPr>
        <w:t xml:space="preserve">Παράγραφος προδιαγραφής: </w:t>
      </w:r>
      <w:r>
        <w:t>§8, §13</w:t>
      </w:r>
    </w:p>
    <w:p>
      <w:r>
        <w:rPr>
          <w:b/>
          <w:color w:val="2E7D32"/>
        </w:rPr>
        <w:t>Επαληθεύτηκε (2 έλεγχοι):</w:t>
      </w:r>
    </w:p>
    <w:p>
      <w:pPr>
        <w:pStyle w:val="ListBullet"/>
        <w:spacing w:after="20"/>
      </w:pPr>
      <w:r>
        <w:t>επιστρέφεται 404</w:t>
      </w:r>
    </w:p>
    <w:p>
      <w:pPr>
        <w:pStyle w:val="ListBullet"/>
        <w:spacing w:after="20"/>
      </w:pPr>
      <w:r>
        <w:t>δεν εμφανίζεται στη λίστα</w:t>
      </w:r>
    </w:p>
    <w:p>
      <w:pPr>
        <w:spacing w:after="160"/>
      </w:pPr>
    </w:p>
    <w:p>
      <w:r>
        <w:rPr>
          <w:b/>
          <w:color w:val="2E7D32"/>
          <w:sz w:val="22"/>
        </w:rPr>
        <w:t>ΣΑ-17 — Χρήστης χωρίς δικαίωμα δεν βλέπει τη διαχείριση τιμών</w:t>
      </w:r>
    </w:p>
    <w:p>
      <w:pPr>
        <w:spacing w:after="40"/>
        <w:jc w:val="both"/>
      </w:pPr>
      <w:r>
        <w:rPr>
          <w:b/>
        </w:rPr>
        <w:t xml:space="preserve">Δεδομένου: </w:t>
      </w:r>
      <w:r>
        <w:t>Χρήστης με δικαίωμα καταχώρησης αλλά χωρίς δικαίωμα τιμών.</w:t>
      </w:r>
    </w:p>
    <w:p>
      <w:pPr>
        <w:spacing w:after="40"/>
        <w:jc w:val="both"/>
      </w:pPr>
      <w:r>
        <w:rPr>
          <w:b/>
        </w:rPr>
        <w:t xml:space="preserve">Όταν: </w:t>
      </w:r>
      <w:r>
        <w:t>Αίτημα στις οθόνες διαχείρισης τιμών και τιμοκαταλόγου.</w:t>
      </w:r>
    </w:p>
    <w:p>
      <w:pPr>
        <w:spacing w:after="40"/>
        <w:jc w:val="both"/>
      </w:pPr>
      <w:r>
        <w:rPr>
          <w:b/>
        </w:rPr>
        <w:t xml:space="preserve">Τότε: </w:t>
      </w:r>
      <w:r>
        <w:t>Λαμβάνει 403. Ο έλεγχος γίνεται στον διακομιστή σε κάθε αίτημα.</w:t>
      </w:r>
    </w:p>
    <w:p>
      <w:pPr>
        <w:spacing w:after="60"/>
      </w:pPr>
      <w:r>
        <w:rPr>
          <w:b/>
        </w:rPr>
        <w:t xml:space="preserve">Παράγραφος προδιαγραφής: </w:t>
      </w:r>
      <w:r>
        <w:t>§8</w:t>
      </w:r>
    </w:p>
    <w:p>
      <w:r>
        <w:rPr>
          <w:b/>
          <w:color w:val="2E7D32"/>
        </w:rPr>
        <w:t>Επαληθεύτηκε (3 έλεγχοι):</w:t>
      </w:r>
    </w:p>
    <w:p>
      <w:pPr>
        <w:pStyle w:val="ListBullet"/>
        <w:spacing w:after="20"/>
      </w:pPr>
      <w:r>
        <w:t>/taep/rates → 403</w:t>
      </w:r>
    </w:p>
    <w:p>
      <w:pPr>
        <w:pStyle w:val="ListBullet"/>
        <w:spacing w:after="20"/>
      </w:pPr>
      <w:r>
        <w:t>/taep/tariff → 403</w:t>
      </w:r>
    </w:p>
    <w:p>
      <w:pPr>
        <w:pStyle w:val="ListBullet"/>
        <w:spacing w:after="20"/>
      </w:pPr>
      <w:r>
        <w:t>/taep/tariff/download → 403</w:t>
      </w:r>
    </w:p>
    <w:p>
      <w:pPr>
        <w:spacing w:after="160"/>
      </w:pPr>
    </w:p>
    <w:p>
      <w:r>
        <w:rPr>
          <w:b/>
          <w:color w:val="2E7D32"/>
          <w:sz w:val="22"/>
        </w:rPr>
        <w:t>ΣΑ-18 — Το έντυπο κοστολόγησης περιέχει όλα τα απαιτούμενα πεδία</w:t>
      </w:r>
    </w:p>
    <w:p>
      <w:pPr>
        <w:spacing w:after="40"/>
        <w:jc w:val="both"/>
      </w:pPr>
      <w:r>
        <w:rPr>
          <w:b/>
        </w:rPr>
        <w:t xml:space="preserve">Δεδομένου: </w:t>
      </w:r>
      <w:r>
        <w:t>Οριστικοποιημένη κοστολόγηση.</w:t>
      </w:r>
    </w:p>
    <w:p>
      <w:pPr>
        <w:spacing w:after="40"/>
        <w:jc w:val="both"/>
      </w:pPr>
      <w:r>
        <w:rPr>
          <w:b/>
        </w:rPr>
        <w:t xml:space="preserve">Όταν: </w:t>
      </w:r>
      <w:r>
        <w:t>Εκτύπωση.</w:t>
      </w:r>
    </w:p>
    <w:p>
      <w:pPr>
        <w:spacing w:after="40"/>
        <w:jc w:val="both"/>
      </w:pPr>
      <w:r>
        <w:rPr>
          <w:b/>
        </w:rPr>
        <w:t xml:space="preserve">Τότε: </w:t>
      </w:r>
      <w:r>
        <w:t>Παράγεται PDF με τα προσωπικά δεδομένα, τις υπηρεσίες ομαδοποιημένες, και τον πίνακα συνόλων που περιλαμβάνει το Τέλος Εγγραφής.</w:t>
      </w:r>
    </w:p>
    <w:p>
      <w:pPr>
        <w:spacing w:after="60"/>
      </w:pPr>
      <w:r>
        <w:rPr>
          <w:b/>
        </w:rPr>
        <w:t xml:space="preserve">Παράγραφος προδιαγραφής: </w:t>
      </w:r>
      <w:r>
        <w:t>§12</w:t>
      </w:r>
    </w:p>
    <w:p>
      <w:r>
        <w:rPr>
          <w:b/>
          <w:color w:val="2E7D32"/>
        </w:rPr>
        <w:t>Επαληθεύτηκε (6 έλεγχοι):</w:t>
      </w:r>
    </w:p>
    <w:p>
      <w:pPr>
        <w:pStyle w:val="ListBullet"/>
        <w:spacing w:after="20"/>
      </w:pPr>
      <w:r>
        <w:t>παράγεται PDF</w:t>
      </w:r>
    </w:p>
    <w:p>
      <w:pPr>
        <w:pStyle w:val="ListBullet"/>
        <w:spacing w:after="20"/>
      </w:pPr>
      <w:r>
        <w:t>περιέχει τα προσωπικά δεδομένα</w:t>
      </w:r>
    </w:p>
    <w:p>
      <w:pPr>
        <w:pStyle w:val="ListBullet"/>
        <w:spacing w:after="20"/>
      </w:pPr>
      <w:r>
        <w:t>οι υπηρεσίες είναι ομαδοποιημένες</w:t>
      </w:r>
    </w:p>
    <w:p>
      <w:pPr>
        <w:pStyle w:val="ListBullet"/>
        <w:spacing w:after="20"/>
      </w:pPr>
      <w:r>
        <w:t>περιέχει το Τέλος Εγγραφής</w:t>
      </w:r>
    </w:p>
    <w:p>
      <w:pPr>
        <w:pStyle w:val="ListBullet"/>
        <w:spacing w:after="20"/>
      </w:pPr>
      <w:r>
        <w:t>περιέχει το Τελικό Κόστος</w:t>
      </w:r>
    </w:p>
    <w:p>
      <w:pPr>
        <w:pStyle w:val="ListBullet"/>
        <w:spacing w:after="20"/>
      </w:pPr>
      <w:r>
        <w:t>φέρει τον αριθμό κοστολόγησης</w:t>
      </w:r>
    </w:p>
    <w:p>
      <w:pPr>
        <w:spacing w:after="160"/>
      </w:pPr>
    </w:p>
    <w:p>
      <w:r>
        <w:rPr>
          <w:b/>
          <w:color w:val="2E7D32"/>
          <w:sz w:val="22"/>
        </w:rPr>
        <w:t>ΣΑ-19 — Το έντυπο αναπαράγεται πανομοιότυπα</w:t>
      </w:r>
    </w:p>
    <w:p>
      <w:pPr>
        <w:spacing w:after="40"/>
        <w:jc w:val="both"/>
      </w:pPr>
      <w:r>
        <w:rPr>
          <w:b/>
        </w:rPr>
        <w:t xml:space="preserve">Δεδομένου: </w:t>
      </w:r>
      <w:r>
        <w:t>Οριστικοποιημένη κοστολόγηση.</w:t>
      </w:r>
    </w:p>
    <w:p>
      <w:pPr>
        <w:spacing w:after="40"/>
        <w:jc w:val="both"/>
      </w:pPr>
      <w:r>
        <w:rPr>
          <w:b/>
        </w:rPr>
        <w:t xml:space="preserve">Όταν: </w:t>
      </w:r>
      <w:r>
        <w:t>Δεύτερη εκτύπωση του ίδιου περιστατικού.</w:t>
      </w:r>
    </w:p>
    <w:p>
      <w:pPr>
        <w:spacing w:after="40"/>
        <w:jc w:val="both"/>
      </w:pPr>
      <w:r>
        <w:rPr>
          <w:b/>
        </w:rPr>
        <w:t xml:space="preserve">Τότε: </w:t>
      </w:r>
      <w:r>
        <w:t>Το PDF είναι πανομοιότυπο σε επίπεδο byte, ώστε αποθηκευμένο και επανεκτυπωμένο έντυπο να μπορούν να συγκριθούν.</w:t>
      </w:r>
    </w:p>
    <w:p>
      <w:pPr>
        <w:spacing w:after="60"/>
      </w:pPr>
      <w:r>
        <w:rPr>
          <w:b/>
        </w:rPr>
        <w:t xml:space="preserve">Παράγραφος προδιαγραφής: </w:t>
      </w:r>
      <w:r>
        <w:t>§12</w:t>
      </w:r>
    </w:p>
    <w:p>
      <w:r>
        <w:rPr>
          <w:b/>
          <w:color w:val="2E7D32"/>
        </w:rPr>
        <w:t>Επαληθεύτηκε (1 έλεγχοι):</w:t>
      </w:r>
    </w:p>
    <w:p>
      <w:pPr>
        <w:pStyle w:val="ListBullet"/>
        <w:spacing w:after="20"/>
      </w:pPr>
      <w:r>
        <w:t>τα δύο PDF είναι πανομοιότυπα</w:t>
      </w:r>
    </w:p>
    <w:p>
      <w:pPr>
        <w:spacing w:after="160"/>
      </w:pPr>
    </w:p>
    <w:p>
      <w:r>
        <w:rPr>
          <w:b/>
          <w:color w:val="2E7D32"/>
          <w:sz w:val="22"/>
        </w:rPr>
        <w:t>ΣΑ-20 — Η μεταφόρτωση τιμοκαταλόγου με σφάλμα δεν εφαρμόζει τίποτα</w:t>
      </w:r>
    </w:p>
    <w:p>
      <w:pPr>
        <w:spacing w:after="40"/>
        <w:jc w:val="both"/>
      </w:pPr>
      <w:r>
        <w:rPr>
          <w:b/>
        </w:rPr>
        <w:t xml:space="preserve">Δεδομένου: </w:t>
      </w:r>
      <w:r>
        <w:t>Αρχείο Excel τιμοκαταλόγου με μία έγκυρη αλλαγή και μία άκυρη γραμμή.</w:t>
      </w:r>
    </w:p>
    <w:p>
      <w:pPr>
        <w:spacing w:after="40"/>
        <w:jc w:val="both"/>
      </w:pPr>
      <w:r>
        <w:rPr>
          <w:b/>
        </w:rPr>
        <w:t xml:space="preserve">Όταν: </w:t>
      </w:r>
      <w:r>
        <w:t>Μεταφόρτωση και απόπειρα εφαρμογής.</w:t>
      </w:r>
    </w:p>
    <w:p>
      <w:pPr>
        <w:spacing w:after="40"/>
        <w:jc w:val="both"/>
      </w:pPr>
      <w:r>
        <w:rPr>
          <w:b/>
        </w:rPr>
        <w:t xml:space="preserve">Τότε: </w:t>
      </w:r>
      <w:r>
        <w:t>Αναφέρονται τα σφάλματα με τον αριθμό γραμμής και δεν εφαρμόζεται καμία αλλαγή.</w:t>
      </w:r>
    </w:p>
    <w:p>
      <w:pPr>
        <w:spacing w:after="60"/>
      </w:pPr>
      <w:r>
        <w:rPr>
          <w:b/>
        </w:rPr>
        <w:t xml:space="preserve">Παράγραφος προδιαγραφής: </w:t>
      </w:r>
      <w:r>
        <w:t>§7</w:t>
      </w:r>
    </w:p>
    <w:p>
      <w:r>
        <w:rPr>
          <w:b/>
          <w:color w:val="2E7D32"/>
        </w:rPr>
        <w:t>Επαληθεύτηκε (3 έλεγχοι):</w:t>
      </w:r>
    </w:p>
    <w:p>
      <w:pPr>
        <w:pStyle w:val="ListBullet"/>
        <w:spacing w:after="20"/>
      </w:pPr>
      <w:r>
        <w:t>δηλώνεται ότι δεν εφαρμόστηκε τίποτα</w:t>
      </w:r>
    </w:p>
    <w:p>
      <w:pPr>
        <w:pStyle w:val="ListBullet"/>
        <w:spacing w:after="20"/>
      </w:pPr>
      <w:r>
        <w:t>αναφέρεται ο αριθμός γραμμής</w:t>
      </w:r>
    </w:p>
    <w:p>
      <w:pPr>
        <w:pStyle w:val="ListBullet"/>
        <w:spacing w:after="20"/>
      </w:pPr>
      <w:r>
        <w:t>ο τιμοκατάλογος παρέμεινε αμετάβλητος</w:t>
      </w:r>
    </w:p>
    <w:p>
      <w:pPr>
        <w:spacing w:after="160"/>
      </w:pPr>
    </w:p>
    <w:p>
      <w:r>
        <w:rPr>
          <w:b/>
          <w:color w:val="2E7D32"/>
          <w:sz w:val="22"/>
        </w:rPr>
        <w:t>ΣΑ-21 — Η εξαγωγή σε Excel φέρει ζωντανούς τύπους</w:t>
      </w:r>
    </w:p>
    <w:p>
      <w:pPr>
        <w:spacing w:after="40"/>
        <w:jc w:val="both"/>
      </w:pPr>
      <w:r>
        <w:rPr>
          <w:b/>
        </w:rPr>
        <w:t xml:space="preserve">Δεδομένου: </w:t>
      </w:r>
      <w:r>
        <w:t>Οριστικοποιημένες κοστολογήσεις στη λίστα.</w:t>
      </w:r>
    </w:p>
    <w:p>
      <w:pPr>
        <w:spacing w:after="40"/>
        <w:jc w:val="both"/>
      </w:pPr>
      <w:r>
        <w:rPr>
          <w:b/>
        </w:rPr>
        <w:t xml:space="preserve">Όταν: </w:t>
      </w:r>
      <w:r>
        <w:t>Εξαγωγή σε Excel.</w:t>
      </w:r>
    </w:p>
    <w:p>
      <w:pPr>
        <w:spacing w:after="40"/>
        <w:jc w:val="both"/>
      </w:pPr>
      <w:r>
        <w:rPr>
          <w:b/>
        </w:rPr>
        <w:t xml:space="preserve">Τότε: </w:t>
      </w:r>
      <w:r>
        <w:t>Το αρχείο περιέχει τύπους SUM και COUNTA πάνω στις γραμμές, ώστε τα σύνολα να είναι ελέγξιμα και όχι επικολλημένες τιμές.</w:t>
      </w:r>
    </w:p>
    <w:p>
      <w:pPr>
        <w:spacing w:after="60"/>
      </w:pPr>
      <w:r>
        <w:rPr>
          <w:b/>
        </w:rPr>
        <w:t xml:space="preserve">Παράγραφος προδιαγραφής: </w:t>
      </w:r>
      <w:r>
        <w:t>§7</w:t>
      </w:r>
    </w:p>
    <w:p>
      <w:r>
        <w:rPr>
          <w:b/>
          <w:color w:val="2E7D32"/>
        </w:rPr>
        <w:t>Επαληθεύτηκε (3 έλεγχοι):</w:t>
      </w:r>
    </w:p>
    <w:p>
      <w:pPr>
        <w:pStyle w:val="ListBullet"/>
        <w:spacing w:after="20"/>
      </w:pPr>
      <w:r>
        <w:t>παράγεται αρχείο Excel</w:t>
      </w:r>
    </w:p>
    <w:p>
      <w:pPr>
        <w:pStyle w:val="ListBullet"/>
        <w:spacing w:after="20"/>
      </w:pPr>
      <w:r>
        <w:t>περιέχει τύπο SUM</w:t>
      </w:r>
    </w:p>
    <w:p>
      <w:pPr>
        <w:pStyle w:val="ListBullet"/>
        <w:spacing w:after="20"/>
      </w:pPr>
      <w:r>
        <w:t>περιέχει τύπο COUNTA</w:t>
      </w:r>
    </w:p>
    <w:p>
      <w:pPr>
        <w:spacing w:after="160"/>
      </w:pPr>
    </w:p>
    <w:p>
      <w:r>
        <w:rPr>
          <w:b/>
          <w:color w:val="2E7D32"/>
          <w:sz w:val="22"/>
        </w:rPr>
        <w:t>ΣΑ-22 — Κάθε μεταβολή καταγράφεται</w:t>
      </w:r>
    </w:p>
    <w:p>
      <w:pPr>
        <w:spacing w:after="40"/>
        <w:jc w:val="both"/>
      </w:pPr>
      <w:r>
        <w:rPr>
          <w:b/>
        </w:rPr>
        <w:t xml:space="preserve">Δεδομένου: </w:t>
      </w:r>
      <w:r>
        <w:t>Πλήρης διαδρομή: καταχώρηση, υπολογισμός, οριστικοποίηση, ακύρωση.</w:t>
      </w:r>
    </w:p>
    <w:p>
      <w:pPr>
        <w:spacing w:after="40"/>
        <w:jc w:val="both"/>
      </w:pPr>
      <w:r>
        <w:rPr>
          <w:b/>
        </w:rPr>
        <w:t xml:space="preserve">Όταν: </w:t>
      </w:r>
      <w:r>
        <w:t>Έλεγχος του μητρώου ενεργειών.</w:t>
      </w:r>
    </w:p>
    <w:p>
      <w:pPr>
        <w:spacing w:after="40"/>
        <w:jc w:val="both"/>
      </w:pPr>
      <w:r>
        <w:rPr>
          <w:b/>
        </w:rPr>
        <w:t xml:space="preserve">Τότε: </w:t>
      </w:r>
      <w:r>
        <w:t>Καταγράφονται η δημιουργία, ο υπολογισμός, η οριστικοποίηση με τον αριθμό, και η ακύρωση με την αιτιολογία.</w:t>
      </w:r>
    </w:p>
    <w:p>
      <w:pPr>
        <w:spacing w:after="60"/>
      </w:pPr>
      <w:r>
        <w:rPr>
          <w:b/>
        </w:rPr>
        <w:t xml:space="preserve">Παράγραφος προδιαγραφής: </w:t>
      </w:r>
      <w:r>
        <w:t>§5</w:t>
      </w:r>
    </w:p>
    <w:p>
      <w:r>
        <w:rPr>
          <w:b/>
          <w:color w:val="2E7D32"/>
        </w:rPr>
        <w:t>Επαληθεύτηκε (5 έλεγχοι):</w:t>
      </w:r>
    </w:p>
    <w:p>
      <w:pPr>
        <w:pStyle w:val="ListBullet"/>
        <w:spacing w:after="20"/>
      </w:pPr>
      <w:r>
        <w:t>καταγράφηκε η δημιουργία</w:t>
      </w:r>
    </w:p>
    <w:p>
      <w:pPr>
        <w:pStyle w:val="ListBullet"/>
        <w:spacing w:after="20"/>
      </w:pPr>
      <w:r>
        <w:t>καταγράφηκε ο υπολογισμός</w:t>
      </w:r>
    </w:p>
    <w:p>
      <w:pPr>
        <w:pStyle w:val="ListBullet"/>
        <w:spacing w:after="20"/>
      </w:pPr>
      <w:r>
        <w:t>καταγράφηκε η οριστικοποίηση</w:t>
      </w:r>
    </w:p>
    <w:p>
      <w:pPr>
        <w:pStyle w:val="ListBullet"/>
        <w:spacing w:after="20"/>
      </w:pPr>
      <w:r>
        <w:t>καταγράφηκε η ακύρωση</w:t>
      </w:r>
    </w:p>
    <w:p>
      <w:pPr>
        <w:pStyle w:val="ListBullet"/>
        <w:spacing w:after="20"/>
      </w:pPr>
      <w:r>
        <w:t>η οριστικοποίηση καταγράφει τον αριθμό</w:t>
      </w:r>
    </w:p>
    <w:p>
      <w:pPr>
        <w:spacing w:after="160"/>
      </w:pPr>
    </w:p>
    <w:p>
      <w:r>
        <w:rPr>
          <w:b/>
          <w:color w:val="2E7D32"/>
          <w:sz w:val="22"/>
        </w:rPr>
        <w:t>ΣΑ-23 — Η κοστολόγηση αναπαράγεται από τα αποθηκευμένα στοιχεία</w:t>
      </w:r>
    </w:p>
    <w:p>
      <w:pPr>
        <w:spacing w:after="40"/>
        <w:jc w:val="both"/>
      </w:pPr>
      <w:r>
        <w:rPr>
          <w:b/>
        </w:rPr>
        <w:t xml:space="preserve">Δεδομένου: </w:t>
      </w:r>
      <w:r>
        <w:t>Οριστικοποιημένη κοστολόγηση.</w:t>
      </w:r>
    </w:p>
    <w:p>
      <w:pPr>
        <w:spacing w:after="40"/>
        <w:jc w:val="both"/>
      </w:pPr>
      <w:r>
        <w:rPr>
          <w:b/>
        </w:rPr>
        <w:t xml:space="preserve">Όταν: </w:t>
      </w:r>
      <w:r>
        <w:t>Έλεγχος του αποθηκευμένου αποτελέσματος.</w:t>
      </w:r>
    </w:p>
    <w:p>
      <w:pPr>
        <w:spacing w:after="40"/>
        <w:jc w:val="both"/>
      </w:pPr>
      <w:r>
        <w:rPr>
          <w:b/>
        </w:rPr>
        <w:t xml:space="preserve">Τότε: </w:t>
      </w:r>
      <w:r>
        <w:t>Αποθηκεύονται τα ποσά που εφαρμόστηκαν, οι γραμμές τιμών από τις οποίες προήλθαν, η έκδοση του αλγορίθμου και η υπογραφή των δεδομένων εισόδου, ώστε το ποσό να αναπαράγεται χρόνια μετά.</w:t>
      </w:r>
    </w:p>
    <w:p>
      <w:pPr>
        <w:spacing w:after="60"/>
      </w:pPr>
      <w:r>
        <w:rPr>
          <w:b/>
        </w:rPr>
        <w:t xml:space="preserve">Παράγραφος προδιαγραφής: </w:t>
      </w:r>
      <w:r>
        <w:t>§5, §6</w:t>
      </w:r>
    </w:p>
    <w:p>
      <w:r>
        <w:rPr>
          <w:b/>
          <w:color w:val="2E7D32"/>
        </w:rPr>
        <w:t>Επαληθεύτηκε (4 έλεγχοι):</w:t>
      </w:r>
    </w:p>
    <w:p>
      <w:pPr>
        <w:pStyle w:val="ListBullet"/>
        <w:spacing w:after="20"/>
      </w:pPr>
      <w:r>
        <w:t>αποθηκεύτηκε η γραμμή τιμής βαρύτητας</w:t>
      </w:r>
    </w:p>
    <w:p>
      <w:pPr>
        <w:pStyle w:val="ListBullet"/>
        <w:spacing w:after="20"/>
      </w:pPr>
      <w:r>
        <w:t>αποθηκεύτηκε η γραμμή τέλους εγγραφής</w:t>
      </w:r>
    </w:p>
    <w:p>
      <w:pPr>
        <w:pStyle w:val="ListBullet"/>
        <w:spacing w:after="20"/>
      </w:pPr>
      <w:r>
        <w:t>αποθηκεύτηκε η έκδοση του αλγορίθμου</w:t>
      </w:r>
    </w:p>
    <w:p>
      <w:pPr>
        <w:pStyle w:val="ListBullet"/>
        <w:spacing w:after="20"/>
      </w:pPr>
      <w:r>
        <w:t>αποθηκεύτηκε η υπογραφή εισόδου</w:t>
      </w:r>
    </w:p>
    <w:p>
      <w:pPr>
        <w:spacing w:after="160"/>
      </w:pPr>
    </w:p>
    <w:p>
      <w:r>
        <w:rPr>
          <w:b/>
          <w:color w:val="2E7D32"/>
          <w:sz w:val="22"/>
        </w:rPr>
        <w:t>ΣΑ-24 — Αναζήτηση υπηρεσίας χωρίς τόνους και πεζά/κεφαλαία</w:t>
      </w:r>
    </w:p>
    <w:p>
      <w:pPr>
        <w:spacing w:after="40"/>
        <w:jc w:val="both"/>
      </w:pPr>
      <w:r>
        <w:rPr>
          <w:b/>
        </w:rPr>
        <w:t xml:space="preserve">Δεδομένου: </w:t>
      </w:r>
      <w:r>
        <w:t>Ο κατάλογος των 125 υπηρεσιών.</w:t>
      </w:r>
    </w:p>
    <w:p>
      <w:pPr>
        <w:spacing w:after="40"/>
        <w:jc w:val="both"/>
      </w:pPr>
      <w:r>
        <w:rPr>
          <w:b/>
        </w:rPr>
        <w:t xml:space="preserve">Όταν: </w:t>
      </w:r>
      <w:r>
        <w:t>Αναζήτηση με «ΕΓΧΥΣΗ ΥΓΡΩΝ», «εγχυση υγρων» και «Έγχυση υγρών».</w:t>
      </w:r>
    </w:p>
    <w:p>
      <w:pPr>
        <w:spacing w:after="40"/>
        <w:jc w:val="both"/>
      </w:pPr>
      <w:r>
        <w:rPr>
          <w:b/>
        </w:rPr>
        <w:t xml:space="preserve">Τότε: </w:t>
      </w:r>
      <w:r>
        <w:t>Και οι τρεις μορφές βρίσκουν την ίδια υπηρεσία.</w:t>
      </w:r>
    </w:p>
    <w:p>
      <w:pPr>
        <w:spacing w:after="60"/>
      </w:pPr>
      <w:r>
        <w:rPr>
          <w:b/>
        </w:rPr>
        <w:t xml:space="preserve">Παράγραφος προδιαγραφής: </w:t>
      </w:r>
      <w:r>
        <w:t>§11</w:t>
      </w:r>
    </w:p>
    <w:p>
      <w:r>
        <w:rPr>
          <w:b/>
          <w:color w:val="2E7D32"/>
        </w:rPr>
        <w:t>Επαληθεύτηκε (4 έλεγχοι):</w:t>
      </w:r>
    </w:p>
    <w:p>
      <w:pPr>
        <w:pStyle w:val="ListBullet"/>
        <w:spacing w:after="20"/>
      </w:pPr>
      <w:r>
        <w:t>«ΕΓΧΥΣΗ ΥΓΡΩΝ» βρίσκει AET043</w:t>
      </w:r>
    </w:p>
    <w:p>
      <w:pPr>
        <w:pStyle w:val="ListBullet"/>
        <w:spacing w:after="20"/>
      </w:pPr>
      <w:r>
        <w:t>«εγχυση υγρων» βρίσκει AET043</w:t>
      </w:r>
    </w:p>
    <w:p>
      <w:pPr>
        <w:pStyle w:val="ListBullet"/>
        <w:spacing w:after="20"/>
      </w:pPr>
      <w:r>
        <w:t>«Έγχυση υγρών» βρίσκει AET043</w:t>
      </w:r>
    </w:p>
    <w:p>
      <w:pPr>
        <w:pStyle w:val="ListBullet"/>
        <w:spacing w:after="20"/>
      </w:pPr>
      <w:r>
        <w:t>«AET043» βρίσκει AET043</w:t>
      </w:r>
    </w:p>
    <w:p>
      <w:pPr>
        <w:spacing w:after="160"/>
      </w:pPr>
    </w:p>
    <w:p>
      <w:r>
        <w:rPr>
          <w:b/>
          <w:color w:val="2E7D32"/>
          <w:sz w:val="22"/>
        </w:rPr>
        <w:t>ΣΑ-25 — Προηγούμενες κοστολογήσεις «Επί Πληρωμή» επισημαίνονται</w:t>
      </w:r>
    </w:p>
    <w:p>
      <w:pPr>
        <w:spacing w:after="40"/>
        <w:jc w:val="both"/>
      </w:pPr>
      <w:r>
        <w:rPr>
          <w:b/>
        </w:rPr>
        <w:t xml:space="preserve">Δεδομένου: </w:t>
      </w:r>
      <w:r>
        <w:t>Ασθενής με προηγούμενη οριστικοποιημένη κοστολόγηση «Επί Πληρωμή».</w:t>
      </w:r>
    </w:p>
    <w:p>
      <w:pPr>
        <w:spacing w:after="40"/>
        <w:jc w:val="both"/>
      </w:pPr>
      <w:r>
        <w:rPr>
          <w:b/>
        </w:rPr>
        <w:t xml:space="preserve">Όταν: </w:t>
      </w:r>
      <w:r>
        <w:t>Ο κωδικοποιητής καταχωρεί τον αριθμό ταυτοποίησης.</w:t>
      </w:r>
    </w:p>
    <w:p>
      <w:pPr>
        <w:spacing w:after="40"/>
        <w:jc w:val="both"/>
      </w:pPr>
      <w:r>
        <w:rPr>
          <w:b/>
        </w:rPr>
        <w:t xml:space="preserve">Τότε: </w:t>
      </w:r>
      <w:r>
        <w:t>Εμφανίζονται οι προηγούμενες κοστολογήσεις χωρίς καταγεγραμμένη εξόφληση, χωρίς να εμποδίζεται η νέα καταχώρηση.</w:t>
      </w:r>
    </w:p>
    <w:p>
      <w:pPr>
        <w:spacing w:after="60"/>
      </w:pPr>
      <w:r>
        <w:rPr>
          <w:b/>
        </w:rPr>
        <w:t xml:space="preserve">Παράγραφος προδιαγραφής: </w:t>
      </w:r>
      <w:r>
        <w:t>§7</w:t>
      </w:r>
    </w:p>
    <w:p>
      <w:r>
        <w:rPr>
          <w:b/>
          <w:color w:val="2E7D32"/>
        </w:rPr>
        <w:t>Επαληθεύτηκε (4 έλεγχοι):</w:t>
      </w:r>
    </w:p>
    <w:p>
      <w:pPr>
        <w:pStyle w:val="ListBullet"/>
        <w:spacing w:after="20"/>
      </w:pPr>
      <w:r>
        <w:t>βρέθηκε προηγούμενη καταχώρηση</w:t>
      </w:r>
    </w:p>
    <w:p>
      <w:pPr>
        <w:pStyle w:val="ListBullet"/>
        <w:spacing w:after="20"/>
      </w:pPr>
      <w:r>
        <w:t>επισημάνθηκε μία χωρίς εξόφληση</w:t>
      </w:r>
    </w:p>
    <w:p>
      <w:pPr>
        <w:pStyle w:val="ListBullet"/>
        <w:spacing w:after="20"/>
      </w:pPr>
      <w:r>
        <w:t>αναφέρεται ο αριθμός κοστολόγησης</w:t>
      </w:r>
    </w:p>
    <w:p>
      <w:pPr>
        <w:pStyle w:val="ListBullet"/>
        <w:spacing w:after="20"/>
      </w:pPr>
      <w:r>
        <w:t>προσφέρεται συμπλήρωση στοιχείων</w:t>
      </w:r>
    </w:p>
    <w:p>
      <w:pPr>
        <w:spacing w:after="160"/>
      </w:pPr>
    </w:p>
    <w:p>
      <w:r>
        <w:rPr>
          <w:b/>
          <w:color w:val="2E7D32"/>
          <w:sz w:val="22"/>
        </w:rPr>
        <w:t>ΣΑ-26 — Ο αριθμός από το έντυπο ανοίγει την κοστολόγηση</w:t>
      </w:r>
    </w:p>
    <w:p>
      <w:pPr>
        <w:spacing w:after="40"/>
        <w:jc w:val="both"/>
      </w:pPr>
      <w:r>
        <w:rPr>
          <w:b/>
        </w:rPr>
        <w:t xml:space="preserve">Δεδομένου: </w:t>
      </w:r>
      <w:r>
        <w:t>Οριστικοποιημένη κοστολόγηση με τυπωμένο αριθμό OKY1054/0001.</w:t>
      </w:r>
    </w:p>
    <w:p>
      <w:pPr>
        <w:spacing w:after="40"/>
        <w:jc w:val="both"/>
      </w:pPr>
      <w:r>
        <w:rPr>
          <w:b/>
        </w:rPr>
        <w:t xml:space="preserve">Όταν: </w:t>
      </w:r>
      <w:r>
        <w:t>Σαρώνεται ο κωδικός από το έντυπο, ή γράφεται ο αριθμός στο πλαίσιο αναζήτησης — και στις χαλαρές μορφές «1054/1» και «oky1054-0001».</w:t>
      </w:r>
    </w:p>
    <w:p>
      <w:pPr>
        <w:spacing w:after="40"/>
        <w:jc w:val="both"/>
      </w:pPr>
      <w:r>
        <w:rPr>
          <w:b/>
        </w:rPr>
        <w:t xml:space="preserve">Τότε: </w:t>
      </w:r>
      <w:r>
        <w:t>Ανοίγει η ίδια κοστολόγηση, χωρίς να ξαναγραφτεί κανένα στοιχείο.</w:t>
      </w:r>
    </w:p>
    <w:p>
      <w:pPr>
        <w:spacing w:after="60"/>
      </w:pPr>
      <w:r>
        <w:rPr>
          <w:b/>
        </w:rPr>
        <w:t xml:space="preserve">Παράγραφος προδιαγραφής: </w:t>
      </w:r>
      <w:r>
        <w:t>§12</w:t>
      </w:r>
    </w:p>
    <w:p>
      <w:r>
        <w:rPr>
          <w:b/>
          <w:color w:val="2E7D32"/>
        </w:rPr>
        <w:t>Επαληθεύτηκε (5 έλεγχοι):</w:t>
      </w:r>
    </w:p>
    <w:p>
      <w:pPr>
        <w:pStyle w:val="ListBullet"/>
        <w:spacing w:after="20"/>
      </w:pPr>
      <w:r>
        <w:t>ο αριθμός είναι OKY1054/0001</w:t>
      </w:r>
    </w:p>
    <w:p>
      <w:pPr>
        <w:pStyle w:val="ListBullet"/>
        <w:spacing w:after="20"/>
      </w:pPr>
      <w:r>
        <w:t>«OKY1054/0001» ανοίγει την κοστολόγηση</w:t>
      </w:r>
    </w:p>
    <w:p>
      <w:pPr>
        <w:pStyle w:val="ListBullet"/>
        <w:spacing w:after="20"/>
      </w:pPr>
      <w:r>
        <w:t>«1054/1» ανοίγει την κοστολόγηση</w:t>
      </w:r>
    </w:p>
    <w:p>
      <w:pPr>
        <w:pStyle w:val="ListBullet"/>
        <w:spacing w:after="20"/>
      </w:pPr>
      <w:r>
        <w:t>«oky1054-0001» ανοίγει την κοστολόγηση</w:t>
      </w:r>
    </w:p>
    <w:p>
      <w:pPr>
        <w:pStyle w:val="ListBullet"/>
        <w:spacing w:after="20"/>
      </w:pPr>
      <w:r>
        <w:t>«1054/0001» ανοίγει την κοστολόγηση</w:t>
      </w:r>
    </w:p>
    <w:p>
      <w:pPr>
        <w:spacing w:after="160"/>
      </w:pPr>
    </w:p>
    <w:p>
      <w:r>
        <w:rPr>
          <w:b/>
          <w:color w:val="2E7D32"/>
          <w:sz w:val="22"/>
        </w:rPr>
        <w:t>ΣΑ-27 — Αριθμός άλλου νοσηλευτηρίου δεν αποκαλύπτεται</w:t>
      </w:r>
    </w:p>
    <w:p>
      <w:pPr>
        <w:spacing w:after="40"/>
        <w:jc w:val="both"/>
      </w:pPr>
      <w:r>
        <w:rPr>
          <w:b/>
        </w:rPr>
        <w:t xml:space="preserve">Δεδομένου: </w:t>
      </w:r>
      <w:r>
        <w:t>Κοστολόγηση που ανήκει στο Γενικό Νοσοκομείο Λεμεσού.</w:t>
      </w:r>
    </w:p>
    <w:p>
      <w:pPr>
        <w:spacing w:after="40"/>
        <w:jc w:val="both"/>
      </w:pPr>
      <w:r>
        <w:rPr>
          <w:b/>
        </w:rPr>
        <w:t xml:space="preserve">Όταν: </w:t>
      </w:r>
      <w:r>
        <w:t>Κωδικοποιητής της Λευκωσίας δίνει τον αριθμό της στο πλαίσιο αναζήτησης.</w:t>
      </w:r>
    </w:p>
    <w:p>
      <w:pPr>
        <w:spacing w:after="40"/>
        <w:jc w:val="both"/>
      </w:pPr>
      <w:r>
        <w:rPr>
          <w:b/>
        </w:rPr>
        <w:t xml:space="preserve">Τότε: </w:t>
      </w:r>
      <w:r>
        <w:t>Λαμβάνει το ίδιο μήνυμα όπως για αριθμό που δεν υπάρχει καθόλου· δεν μαθαίνει ότι η κοστολόγηση υπάρχει.</w:t>
      </w:r>
    </w:p>
    <w:p>
      <w:pPr>
        <w:spacing w:after="60"/>
      </w:pPr>
      <w:r>
        <w:rPr>
          <w:b/>
        </w:rPr>
        <w:t xml:space="preserve">Παράγραφος προδιαγραφής: </w:t>
      </w:r>
      <w:r>
        <w:t>§13</w:t>
      </w:r>
    </w:p>
    <w:p>
      <w:r>
        <w:rPr>
          <w:b/>
          <w:color w:val="2E7D32"/>
        </w:rPr>
        <w:t>Επαληθεύτηκε (3 έλεγχοι):</w:t>
      </w:r>
    </w:p>
    <w:p>
      <w:pPr>
        <w:pStyle w:val="ListBullet"/>
        <w:spacing w:after="20"/>
      </w:pPr>
      <w:r>
        <w:t>απαντά «δεν βρέθηκε»</w:t>
      </w:r>
    </w:p>
    <w:p>
      <w:pPr>
        <w:pStyle w:val="ListBullet"/>
        <w:spacing w:after="20"/>
      </w:pPr>
      <w:r>
        <w:t>ίδια απάντηση για ανύπαρκτο αριθμό</w:t>
      </w:r>
    </w:p>
    <w:p>
      <w:pPr>
        <w:pStyle w:val="ListBullet"/>
        <w:spacing w:after="20"/>
      </w:pPr>
      <w:r>
        <w:t>δεν δίνεται σύνδεσμος προς την κοστολόγηση</w:t>
      </w:r>
    </w:p>
    <w:p>
      <w:pPr>
        <w:spacing w:after="160"/>
      </w:pPr>
    </w:p>
    <w:p>
      <w:r>
        <w:rPr>
          <w:b/>
          <w:color w:val="2E7D32"/>
          <w:sz w:val="22"/>
        </w:rPr>
        <w:t>ΣΑ-28 — Το ταμείο διαβάζει, δεν γράφει</w:t>
      </w:r>
    </w:p>
    <w:p>
      <w:pPr>
        <w:spacing w:after="40"/>
        <w:jc w:val="both"/>
      </w:pPr>
      <w:r>
        <w:rPr>
          <w:b/>
        </w:rPr>
        <w:t xml:space="preserve">Δεδομένου: </w:t>
      </w:r>
      <w:r>
        <w:t>Χρήστης ταμείου με μόνο το δικαίωμα taep.view.</w:t>
      </w:r>
    </w:p>
    <w:p>
      <w:pPr>
        <w:spacing w:after="40"/>
        <w:jc w:val="both"/>
      </w:pPr>
      <w:r>
        <w:rPr>
          <w:b/>
        </w:rPr>
        <w:t xml:space="preserve">Όταν: </w:t>
      </w:r>
      <w:r>
        <w:t>Σαρώνει τον αριθμό από το έντυπο, ανοίγει την κοστολόγηση και την επανεκτυπώνει· στη συνέχεια επιχειρεί νέα καταχώρηση και ακύρωση.</w:t>
      </w:r>
    </w:p>
    <w:p>
      <w:pPr>
        <w:spacing w:after="40"/>
        <w:jc w:val="both"/>
      </w:pPr>
      <w:r>
        <w:rPr>
          <w:b/>
        </w:rPr>
        <w:t xml:space="preserve">Τότε: </w:t>
      </w:r>
      <w:r>
        <w:t>Βλέπει και εκτυπώνει· η καταχώρηση και η ακύρωση απορρίπτονται. Η επανεκτύπωση καταγράφεται στο αρχείο ελέγχου.</w:t>
      </w:r>
    </w:p>
    <w:p>
      <w:pPr>
        <w:spacing w:after="60"/>
      </w:pPr>
      <w:r>
        <w:rPr>
          <w:b/>
        </w:rPr>
        <w:t xml:space="preserve">Παράγραφος προδιαγραφής: </w:t>
      </w:r>
      <w:r>
        <w:t>§8</w:t>
      </w:r>
    </w:p>
    <w:p>
      <w:r>
        <w:rPr>
          <w:b/>
          <w:color w:val="2E7D32"/>
        </w:rPr>
        <w:t>Επαληθεύτηκε (6 έλεγχοι):</w:t>
      </w:r>
    </w:p>
    <w:p>
      <w:pPr>
        <w:pStyle w:val="ListBullet"/>
        <w:spacing w:after="20"/>
      </w:pPr>
      <w:r>
        <w:t>ο αριθμός ανοίγει την κοστολόγηση</w:t>
      </w:r>
    </w:p>
    <w:p>
      <w:pPr>
        <w:pStyle w:val="ListBullet"/>
        <w:spacing w:after="20"/>
      </w:pPr>
      <w:r>
        <w:t>η κοστολόγηση προβάλλεται</w:t>
      </w:r>
    </w:p>
    <w:p>
      <w:pPr>
        <w:pStyle w:val="ListBullet"/>
        <w:spacing w:after="20"/>
      </w:pPr>
      <w:r>
        <w:t>επανεκτυπώνεται</w:t>
      </w:r>
    </w:p>
    <w:p>
      <w:pPr>
        <w:pStyle w:val="ListBullet"/>
        <w:spacing w:after="20"/>
      </w:pPr>
      <w:r>
        <w:t>η επανεκτύπωση καταγράφεται</w:t>
      </w:r>
    </w:p>
    <w:p>
      <w:pPr>
        <w:pStyle w:val="ListBullet"/>
        <w:spacing w:after="20"/>
      </w:pPr>
      <w:r>
        <w:t>η νέα καταχώρηση απορρίπτεται</w:t>
      </w:r>
    </w:p>
    <w:p>
      <w:pPr>
        <w:pStyle w:val="ListBullet"/>
        <w:spacing w:after="20"/>
      </w:pPr>
      <w:r>
        <w:t>η ακύρωση απορρίπτεται</w:t>
      </w:r>
    </w:p>
    <w:p>
      <w:pPr>
        <w:spacing w:after="160"/>
      </w:pPr>
    </w:p>
    <w:p>
      <w:r>
        <w:br w:type="page"/>
      </w:r>
    </w:p>
    <w:p>
      <w:r>
        <w:rPr>
          <w:b/>
          <w:color w:val="1F3864"/>
          <w:sz w:val="24"/>
        </w:rPr>
        <w:t>Παραλαβή</w:t>
      </w:r>
    </w:p>
    <w:p>
      <w:r>
        <w:t>Με την υπογραφή του παρόντος επιβεβαιώνεται ότι τα σενάρια αποδοχής εκτελέστηκαν και ελέγχθηκαν.</w:t>
      </w:r>
    </w:p>
    <w:p>
      <w:pPr>
        <w:spacing w:after="280"/>
      </w:pPr>
      <w:r>
        <w:rPr>
          <w:b/>
        </w:rPr>
        <w:t xml:space="preserve">Μονάδα Ελέγχου Εσόδων: </w:t>
      </w:r>
      <w:r>
        <w:t>……………………………………………   Ημερομηνία: ………………………</w:t>
      </w:r>
    </w:p>
    <w:p>
      <w:pPr>
        <w:spacing w:after="280"/>
      </w:pPr>
      <w:r>
        <w:rPr>
          <w:b/>
        </w:rPr>
        <w:t xml:space="preserve">Τμήμα Πληροφορικής: </w:t>
      </w:r>
      <w:r>
        <w:t>……………………………………………   Ημερομηνία: ………………………</w:t>
      </w:r>
    </w:p>
    <w:p>
      <w:pPr>
        <w:spacing w:after="280"/>
      </w:pPr>
      <w:r>
        <w:rPr>
          <w:b/>
        </w:rPr>
        <w:t xml:space="preserve">Διεύθυνση Νοσηλευτηρίου: </w:t>
      </w:r>
      <w:r>
        <w:t>……………………………………………   Ημερομηνία: ………………………</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