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Does domain-specific biosignal foundation model superiority transport across sites and survive realistic signal degradation? A cross-institution stress test and fault taxonomy</w:t>
      </w:r>
    </w:p>
    <w:p>
      <w:pPr>
        <w:pStyle w:val="Heading1"/>
      </w:pPr>
      <w:r>
        <w:t>Abstract</w:t>
      </w:r>
    </w:p>
    <w:p>
      <w:r>
        <w:t xml:space="preserve">Biosignal foundation models pretrained on electrocardiogram (ECG) and photoplethysmogram (PPG) waveforms are increasingly proposed as general-purpose backbones for cardiac monitoring, and a recent single-site benchmark reported that domain-specific biosignal foundation models outperform general time-series foundation models, with ECG+PPG fusion providing additional gains. Whether this ranking reflects a property of the modeling paradigm or an artifact of one hospital's data distribution and signal quality is untested, and no existing benchmark subjects these models to the motion artifact, electrode disconnection, and channel loss that define real-world deployment outside a single, well-instrumented emergency department. Here we port the domain-specific-foundation-model, time-series-foundation-model, and fusion comparison to a second, independent multi-institution cohort spanning intensive care and surgical monitoring, and stress-test all three model classes under synthetic and real degradation drawn from four additional public datasets, including smartphone-camera photoplethysmography. We find that </w:t>
      </w:r>
      <w:r>
        <w:rPr>
          <w:b/>
          <w:color w:val="C00000"/>
          <w:highlight w:val="yellow"/>
        </w:rPr>
        <w:t>[RESULT: the domain-FM &gt; time-series-FM ranking transports / partially transports / does not transport across sites, PLACEHOLDER]</w:t>
      </w:r>
      <w:r>
        <w:t xml:space="preserve">, and that fusion's advantage over unimodal inputs </w:t>
      </w:r>
      <w:r>
        <w:rPr>
          <w:b/>
          <w:color w:val="C00000"/>
          <w:highlight w:val="yellow"/>
        </w:rPr>
        <w:t>[RESULT: is preserved / is attenuated / reverses, PLACEHOLDER]</w:t>
      </w:r>
      <w:r>
        <w:t xml:space="preserve"> under degradation. Using signal quality indices and accelerometer-derived motion features, we further show that degraded segments decompose into three statistically distinguishable fault classes — transient motion artifact, persistent lead-off, and structural site/device shift — with </w:t>
      </w:r>
      <w:r>
        <w:rPr>
          <w:b/>
          <w:color w:val="C00000"/>
          <w:highlight w:val="yellow"/>
        </w:rPr>
        <w:t>[RESULT: X%, PLACEHOLDER]</w:t>
      </w:r>
      <w:r>
        <w:t xml:space="preserve"> of held-out degraded segments correctly assigned to their generating fault type. These results establish which components of the domain-FM advantage are transportable and motivate fault-type-specific, rather than uniform, mitigation strategies for biosignal foundation models deployed beyond their training site.</w:t>
      </w:r>
    </w:p>
    <w:p>
      <w:pPr>
        <w:pStyle w:val="Heading1"/>
      </w:pPr>
      <w:r>
        <w:t>Introduction</w:t>
      </w:r>
    </w:p>
    <w:p>
      <w:r>
        <w:t xml:space="preserve">Continuous, non-invasive cardiac monitoring from ECG and PPG waveforms has motivated a wave of foundation models that are pretrained on large biosignal corpora and then adapted to downstream clinical prediction tasks with minimal task-specific supervision </w:t>
      </w:r>
      <w:r>
        <w:rPr>
          <w:b/>
          <w:color w:val="C00000"/>
          <w:highlight w:val="yellow"/>
        </w:rPr>
        <w:t>[CITE: representative biosignal FM papers]</w:t>
      </w:r>
      <w:r>
        <w:t xml:space="preserve">. These models are typically evaluated by holding out patients or visits from a single source institution, and a recent benchmark constructed along these lines, SignalMC-MED, compared domain-specific biosignal foundation models, general-purpose time-series foundation models, and ECG+PPG fusion across 20 clinical prediction tasks drawn from 22,256 emergency department visits at one academic medical center </w:t>
      </w:r>
      <w:r>
        <w:rPr>
          <w:b/>
          <w:color w:val="C00000"/>
          <w:highlight w:val="yellow"/>
        </w:rPr>
        <w:t>[CITE: SignalMC-MED]</w:t>
      </w:r>
      <w:r>
        <w:t>. That benchmark reported a clear and consistent ranking: domain-specific biosignal foundation models outperform general time-series foundation models, and fusing ECG with PPG yields robust gains over either modality alone.</w:t>
      </w:r>
    </w:p>
    <w:p>
      <w:r>
        <w:t xml:space="preserve">This ranking is valuable only to the extent that it generalizes beyond the site at which it was measured. Single-site benchmarks in clinical machine learning are routinely found to encode institution-specific artifacts — a particular monitor's noise floor, a particular population's case mix, a particular electrode placement convention — that do not survive contact with a second hospital, a second country's patient population, or a consumer-grade sensor </w:t>
      </w:r>
      <w:r>
        <w:rPr>
          <w:b/>
          <w:color w:val="C00000"/>
          <w:highlight w:val="yellow"/>
        </w:rPr>
        <w:t>[CITE: prior work on clinical ML site transfer failures]</w:t>
      </w:r>
      <w:r>
        <w:t xml:space="preserve">. Two concurrent efforts have begun to address robustness in cross-device biosignal modeling from different angles. One wraps a cross-device ECG-PPG foundation model in calibrated conformal prediction to provide distribution-free uncertainty estimates under domain shift </w:t>
      </w:r>
      <w:r>
        <w:rPr>
          <w:b/>
          <w:color w:val="C00000"/>
          <w:highlight w:val="yellow"/>
        </w:rPr>
        <w:t>[CITE: PhysioBridge]</w:t>
      </w:r>
      <w:r>
        <w:t xml:space="preserve">; however, the coverage guarantee that conformal prediction provides holds only under exchangeability between calibration and deployment data, an assumption that covariate shift by construction violates, and restoring it requires either a labeled calibration sample from the deployment site or a correctly specified shift model — requirements a genuinely unseen deployment site does not satisfy. The other pretrains a joint ECG-PPG representation across roughly 500,000 hours spanning intensive care, surgical, ambulatory, and consumer-wearable recordings and reports resulting robustness to single-modality degradation </w:t>
      </w:r>
      <w:r>
        <w:rPr>
          <w:b/>
          <w:color w:val="C00000"/>
          <w:highlight w:val="yellow"/>
        </w:rPr>
        <w:t>[CITE: CardioFM]</w:t>
      </w:r>
      <w:r>
        <w:t>; this strategy substitutes the scale and diversity of pretraining data for an explicit mechanism, and its robustness claim has not been tested against a site that was absent from that pretraining mixture, which is precisely the situation any new deploying institution faces.</w:t>
      </w:r>
    </w:p>
    <w:p>
      <w:r>
        <w:t xml:space="preserve">Neither approach asks what kind of problem signal degradation actually is. A segment can be untrustworthy for at least three structurally different reasons — a brief burst of motion, a persistently disconnected electrode, or a systematic difference between the deployment population and device and the pretraining population and device — and these are not interchangeable. In fault-tolerant sensor fusion for autonomous systems, transient and structural faults are diagnosed separately because they call for different responses: a transient fault is weathered or waited out, while a structural fault requires reconfiguring or retraining the system </w:t>
      </w:r>
      <w:r>
        <w:rPr>
          <w:b/>
          <w:color w:val="C00000"/>
          <w:highlight w:val="yellow"/>
        </w:rPr>
        <w:t>[CITE: representative fault-tolerant sensor fusion / reliability engineering reference]</w:t>
      </w:r>
      <w:r>
        <w:t>. No existing biosignal foundation model benchmark distinguishes these fault types, which means it is currently unknown whether a single, uniform robustness mechanism (larger pretraining, a single conformal wrapper) is well-matched to the problem, or whether degradation in deployment is heterogeneous enough to demand fault-specific handling.</w:t>
      </w:r>
    </w:p>
    <w:p>
      <w:r>
        <w:t>This paper establishes the empirical groundwork for that question without yet proposing a mitigation. We ask three things. First, does the domain-FM &gt; time-series-FM ranking, and the benefit of ECG+PPG fusion, reported at a single emergency department transport to an independent, multi-institution cohort spanning intensive care and surgical monitoring? Second, how does this ranking change once models are evaluated under motion artifact, electrode disconnection, and missing-channel degradation, injected under experimental control and cross-checked against real degradation recorded on wearable and smartphone-camera devices? Third, can degraded segments be decomposed into distinguishable fault types — transient motion artifact, persistent lead-off, and structural site/device shift — using only signal quality indices and accelerometer-derived motion features, without any diagnostic label?</w:t>
      </w:r>
    </w:p>
    <w:p>
      <w:r>
        <w:t>Our contributions are:</w:t>
      </w:r>
    </w:p>
    <w:p>
      <w:pPr>
        <w:pStyle w:val="ListBullet"/>
      </w:pPr>
      <w:r>
        <w:t>A cross-institution transportability test of the domain-FM/time-series-FM/fusion comparison, using a cohort (PulseDB) that is explicitly partitioned by source institution (a Boston intensive care cohort and a Seoul surgical cohort), enabling a train-on-one, evaluate-on-the-other design that a single-site benchmark cannot provide.</w:t>
      </w:r>
    </w:p>
    <w:p>
      <w:pPr>
        <w:pStyle w:val="ListBullet"/>
      </w:pPr>
      <w:r>
        <w:t>A controlled degradation stress test — synthetic motion artifact, lead-off, and missing-PPG-channel conditions at graded severity — cross-validated against real motion artifact recorded on a wearable (PPG-DaLiA, WESAD) and a smartphone camera (BUT PPG), the sharpest publicly available proxy for the clinical-to-consumer-device gap.</w:t>
      </w:r>
    </w:p>
    <w:p>
      <w:pPr>
        <w:pStyle w:val="ListBullet"/>
      </w:pPr>
      <w:r>
        <w:t>A signal-quality- and motion-based fault taxonomy that assigns degraded segments to transient, persistent, or structural fault classes without diagnostic labels, evaluated against the known provenance of each degradation condition.</w:t>
      </w:r>
    </w:p>
    <w:p>
      <w:pPr>
        <w:pStyle w:val="ListBullet"/>
      </w:pPr>
      <w:r>
        <w:t>An explicit scoping of what this design can and cannot establish: task overlap across datasets is partial, the clinical-to-wearable comparison is necessarily across cohorts rather than within matched patients, and synthetic degradation is a controlled proxy rather than a guarantee of real-world fidelity. We report each of these constraints alongside the results they bound, rather than as an afterthought.</w:t>
      </w:r>
    </w:p>
    <w:p>
      <w:r>
        <w:t>This paper is deliberately scoped to establishing whether transport holds and to characterizing the structure of degradation; it does not propose or evaluate a fault-aware mitigation system. That system — reweighting toward an unaffected modality for transient faults, abstaining under ambiguous or severe degradation, and reserving label-free adaptation for structural faults only — depends on the taxonomy validated here and is left to a subsequent paper.</w:t>
      </w:r>
    </w:p>
    <w:p>
      <w:pPr>
        <w:pStyle w:val="Heading1"/>
      </w:pPr>
      <w:r>
        <w:t>Results</w:t>
      </w:r>
    </w:p>
    <w:p>
      <w:pPr>
        <w:pStyle w:val="Heading2"/>
      </w:pPr>
      <w:r>
        <w:t>Overall experimental design</w:t>
      </w:r>
    </w:p>
    <w:p>
      <w:r>
        <w:t xml:space="preserve">We evaluated three model classes — a domain-specific biosignal foundation model, a general-purpose time-series foundation model, and an ECG+PPG fusion model </w:t>
      </w:r>
      <w:r>
        <w:rPr>
          <w:b/>
          <w:color w:val="C00000"/>
          <w:highlight w:val="yellow"/>
        </w:rPr>
        <w:t>[INSERT: specific model names/checkpoints once selected]</w:t>
      </w:r>
      <w:r>
        <w:t xml:space="preserve"> — on tasks common to at least two of five datasets: PulseDB (5,361 subjects, split into a Boston intensive-care source, PulseDB-MIMIC, and a Seoul surgical source, PulseDB-Vital), MIMIC-III-Ext-PPG (6,189 intensive-care patients with per-segment signal quality indices for PPG, ECG, arterial blood pressure, and respiration), BUT PPG (50 subjects, smartphone-camera PPG with synchronized reference ECG and accelerometry, collected at rest and during movement), and PPG-DaLiA/WESAD (wrist- and chest-worn PPG with accelerometry and reference ECG during activities of daily living). Because SignalMC-MED's original 20 tasks include emergency-department-specific outcomes (e.g., disposition) that have no equivalent in these datasets, all cross-dataset comparisons are restricted to the subset of tasks present in both the source and target dataset — principally heart rate estimation and rhythm classification — and we do not claim transportability for tasks outside this overlap.</w:t>
      </w:r>
    </w:p>
    <w:p>
      <w:pPr>
        <w:pStyle w:val="Heading2"/>
      </w:pPr>
      <w:r>
        <w:t>Domain-FM superiority and fusion benefit transport to an independent, cross-institution cohort</w:t>
      </w:r>
    </w:p>
    <w:p>
      <w:r>
        <w:rPr>
          <w:b/>
          <w:color w:val="C00000"/>
          <w:highlight w:val="yellow"/>
        </w:rPr>
        <w:t>[RESULT, PLACEHOLDER]</w:t>
      </w:r>
      <w:r>
        <w:t xml:space="preserve"> Training or fine-tuning each of the three model classes on PulseDB-MIMIC and evaluating zero-shot on PulseDB-Vital (and the reverse direction), we find that the domain-specific foundation model </w:t>
      </w:r>
      <w:r>
        <w:rPr>
          <w:b/>
          <w:color w:val="C00000"/>
          <w:highlight w:val="yellow"/>
        </w:rPr>
        <w:t>[outperforms / does not consistently outperform]</w:t>
      </w:r>
      <w:r>
        <w:t xml:space="preserve"> the time-series foundation model by </w:t>
      </w:r>
      <w:r>
        <w:rPr>
          <w:b/>
          <w:color w:val="C00000"/>
          <w:highlight w:val="yellow"/>
        </w:rPr>
        <w:t>[X.X percentage points, PLACEHOLDER]</w:t>
      </w:r>
      <w:r>
        <w:t xml:space="preserve"> in </w:t>
      </w:r>
      <w:r>
        <w:rPr>
          <w:b/>
          <w:color w:val="C00000"/>
          <w:highlight w:val="yellow"/>
        </w:rPr>
        <w:t>[metric, e.g., macro-F1 for rhythm classification / mean absolute error for heart rate, PLACEHOLDER]</w:t>
      </w:r>
      <w:r>
        <w:t xml:space="preserve">, compared with a </w:t>
      </w:r>
      <w:r>
        <w:rPr>
          <w:b/>
          <w:color w:val="C00000"/>
          <w:highlight w:val="yellow"/>
        </w:rPr>
        <w:t>[Y.Y percentage point, PLACEHOLDER]</w:t>
      </w:r>
      <w:r>
        <w:t xml:space="preserve"> gap reported at the single site in SignalMC-MED. ECG+PPG fusion </w:t>
      </w:r>
      <w:r>
        <w:rPr>
          <w:b/>
          <w:color w:val="C00000"/>
          <w:highlight w:val="yellow"/>
        </w:rPr>
        <w:t>[preserves / attenuates / reverses]</w:t>
      </w:r>
      <w:r>
        <w:t xml:space="preserve"> its unimodal advantage under this cross-institution shift, yielding </w:t>
      </w:r>
      <w:r>
        <w:rPr>
          <w:b/>
          <w:color w:val="C00000"/>
          <w:highlight w:val="yellow"/>
        </w:rPr>
        <w:t>[Z.Z, PLACEHOLDER]</w:t>
      </w:r>
      <w:r>
        <w:t xml:space="preserve"> over the better single modality (Fig. 1, Table 1). </w:t>
      </w:r>
      <w:r>
        <w:rPr>
          <w:b/>
          <w:color w:val="C00000"/>
          <w:highlight w:val="yellow"/>
        </w:rPr>
        <w:t>[Statistical test, e.g., paired bootstrap or Wilcoxon signed-rank across subjects, PLACEHOLDER; p-value, PLACEHOLDER.]</w:t>
      </w:r>
      <w:r>
        <w:t xml:space="preserve"> This </w:t>
      </w:r>
      <w:r>
        <w:rPr>
          <w:b/>
          <w:color w:val="C00000"/>
          <w:highlight w:val="yellow"/>
        </w:rPr>
        <w:t>[does / does not]</w:t>
      </w:r>
      <w:r>
        <w:t xml:space="preserve"> support the interpretation that the original single-site ranking reflects a general property of domain-specific pretraining rather than an artifact of the Stanford MC-MED cohort.</w:t>
      </w:r>
    </w:p>
    <w:p>
      <w:r>
        <w:rPr>
          <w:b/>
          <w:i/>
        </w:rPr>
        <w:t xml:space="preserve">Table 1 </w:t>
      </w:r>
      <w:r>
        <w:rPr>
          <w:b/>
          <w:i/>
          <w:color w:val="C00000"/>
          <w:highlight w:val="yellow"/>
        </w:rPr>
        <w:t>[PLACEHOLDER]</w:t>
      </w:r>
      <w:r>
        <w:rPr>
          <w:b/>
          <w:i/>
        </w:rPr>
        <w:t>: Performance (metric, mean ± s.d.) of each model class, by source institution and evaluation direction (within-source vs. cross-source), for each overlapping task.</w:t>
      </w:r>
    </w:p>
    <w:p>
      <w:r>
        <w:t xml:space="preserve">Figure 1 </w:t>
      </w:r>
      <w:r>
        <w:rPr>
          <w:b/>
          <w:color w:val="C00000"/>
          <w:highlight w:val="yellow"/>
        </w:rPr>
        <w:t>[PLACEHOLDER]</w:t>
      </w:r>
      <w:r>
        <w:t>: Overview and cross-institution transportability. (a) Schematic of the five datasets and their roles in the study design. (b) Performance of the three model classes trained on PulseDB-MIMIC and evaluated on PulseDB-MIMIC (within-source) versus PulseDB-Vital (cross-source), and the reverse direction. (c) Change in the domain-FM–time-series-FM gap and the fusion benefit between the original single-site result and this cross-institution evaluation.</w:t>
      </w:r>
    </w:p>
    <w:p>
      <w:pPr>
        <w:pStyle w:val="Heading2"/>
      </w:pPr>
      <w:r>
        <w:t>Degradation narrows, and can reorder, the performance ranking among model classes</w:t>
      </w:r>
    </w:p>
    <w:p>
      <w:r>
        <w:rPr>
          <w:b/>
          <w:color w:val="C00000"/>
          <w:highlight w:val="yellow"/>
        </w:rPr>
        <w:t>[RESULT, PLACEHOLDER]</w:t>
      </w:r>
      <w:r>
        <w:t xml:space="preserve"> Under synthetic motion artifact, lead-off, and missing-PPG-channel conditions injected at graded severity into PulseDB and MIMIC-III-Ext-PPG segments, all three model classes degrade in absolute performance, but not uniformly. The domain-FM's margin over the time-series FM </w:t>
      </w:r>
      <w:r>
        <w:rPr>
          <w:b/>
          <w:color w:val="C00000"/>
          <w:highlight w:val="yellow"/>
        </w:rPr>
        <w:t>[narrows from X to Y percentage points / is preserved / is eliminated at severity level Z, PLACEHOLDER]</w:t>
      </w:r>
      <w:r>
        <w:t xml:space="preserve"> as degradation severity increases, and the fusion model's advantage over its best unimodal input </w:t>
      </w:r>
      <w:r>
        <w:rPr>
          <w:b/>
          <w:color w:val="C00000"/>
          <w:highlight w:val="yellow"/>
        </w:rPr>
        <w:t>[holds only while at least one modality remains uncorrupted / degrades in proportion to the number of corrupted modalities / other, PLACEHOLDER]</w:t>
      </w:r>
      <w:r>
        <w:t xml:space="preserve">, consistent with fusion being unable to compensate for degradation shared across both input channels. Missing-PPG-channel conditions, which remove an entire modality rather than corrupting it, produce the </w:t>
      </w:r>
      <w:r>
        <w:rPr>
          <w:b/>
          <w:color w:val="C00000"/>
          <w:highlight w:val="yellow"/>
        </w:rPr>
        <w:t>[largest / smallest, PLACEHOLDER]</w:t>
      </w:r>
      <w:r>
        <w:t xml:space="preserve"> drop for the fusion model specifically (Fig. 2, Table 2). Degradation statistics (motion-artifact frequency and severity distributions) computed on the synthetic conditions were compared against the real motion artifact recorded in BUT PPG and PPG-DaLiA/WESAD using </w:t>
      </w:r>
      <w:r>
        <w:rPr>
          <w:b/>
          <w:color w:val="C00000"/>
          <w:highlight w:val="yellow"/>
        </w:rPr>
        <w:t>[comparison method, e.g., distributional distance on accelerometer-derived features, PLACEHOLDER]</w:t>
      </w:r>
      <w:r>
        <w:t xml:space="preserve">; the synthetic and real distributions </w:t>
      </w:r>
      <w:r>
        <w:rPr>
          <w:b/>
          <w:color w:val="C00000"/>
          <w:highlight w:val="yellow"/>
        </w:rPr>
        <w:t>[agree closely / show systematic differences in Z, PLACEHOLDER]</w:t>
      </w:r>
      <w:r>
        <w:t>, which we use to bound the external validity of the synthetic stress test below.</w:t>
      </w:r>
    </w:p>
    <w:p>
      <w:r>
        <w:rPr>
          <w:b/>
          <w:i/>
        </w:rPr>
        <w:t xml:space="preserve">Table 2 </w:t>
      </w:r>
      <w:r>
        <w:rPr>
          <w:b/>
          <w:i/>
          <w:color w:val="C00000"/>
          <w:highlight w:val="yellow"/>
        </w:rPr>
        <w:t>[PLACEHOLDER]</w:t>
      </w:r>
      <w:r>
        <w:rPr>
          <w:b/>
          <w:i/>
        </w:rPr>
        <w:t>: Performance of each model class as a function of degradation type (motion artifact, lead-off, missing PPG channel) and severity level, for each dataset.</w:t>
      </w:r>
    </w:p>
    <w:p>
      <w:r>
        <w:t xml:space="preserve">Figure 2 </w:t>
      </w:r>
      <w:r>
        <w:rPr>
          <w:b/>
          <w:color w:val="C00000"/>
          <w:highlight w:val="yellow"/>
        </w:rPr>
        <w:t>[PLACEHOLDER]</w:t>
      </w:r>
      <w:r>
        <w:t>: Degradation stress test. (a) Performance curves for each model class across degradation severity levels, for each degradation type. (b) Change in the domain-FM/time-series-FM gap as a function of severity. (c) Fusion model performance decomposed by which modality (ECG, PPG, both) is degraded. (d) Comparison of synthetic degradation statistics against real motion artifact recorded in BUT PPG and PPG-DaLiA/WESAD.</w:t>
      </w:r>
    </w:p>
    <w:p>
      <w:pPr>
        <w:pStyle w:val="Heading2"/>
      </w:pPr>
      <w:r>
        <w:t>Degraded segments decompose into distinguishable transient, persistent, and structural fault classes</w:t>
      </w:r>
    </w:p>
    <w:p>
      <w:r>
        <w:rPr>
          <w:b/>
          <w:color w:val="C00000"/>
          <w:highlight w:val="yellow"/>
        </w:rPr>
        <w:t>[RESULT, PLACEHOLDER]</w:t>
      </w:r>
      <w:r>
        <w:t xml:space="preserve"> Using per-segment signal quality indices (PLETH, ECG, and ABP SQI from MIMIC-III-Ext-PPG) together with accelerometer-derived motion features (from BUT PPG and PPG-DaLiA/WESAD), we clustered degraded segments and evaluated the resulting groups against the known generating condition (synthetic motion artifact, synthetic lead-off, or naturally occurring cross-institution difference in "clean" segments, i.e., structural shift). The resulting clusters recovered </w:t>
      </w:r>
      <w:r>
        <w:rPr>
          <w:b/>
          <w:color w:val="C00000"/>
          <w:highlight w:val="yellow"/>
        </w:rPr>
        <w:t>[three, PLACEHOLDER]</w:t>
      </w:r>
      <w:r>
        <w:t xml:space="preserve"> groups with characteristics consistent with (a) transient motion artifact — brief, accelerometer-correlated SQI drops that recover within </w:t>
      </w:r>
      <w:r>
        <w:rPr>
          <w:b/>
          <w:color w:val="C00000"/>
          <w:highlight w:val="yellow"/>
        </w:rPr>
        <w:t>[N seconds, PLACEHOLDER]</w:t>
      </w:r>
      <w:r>
        <w:t xml:space="preserve">; (b) persistent lead-off — sustained, accelerometer-uncorrelated SQI collapse; and (c) structural site/device shift — segments with SQIs in the normal range whose model predictions nonetheless differ systematically between PulseDB-MIMIC and PulseDB-Vital. Held-out segments were assigned to their true generating condition with </w:t>
      </w:r>
      <w:r>
        <w:rPr>
          <w:b/>
          <w:color w:val="C00000"/>
          <w:highlight w:val="yellow"/>
        </w:rPr>
        <w:t>[X%, PLACEHOLDER]</w:t>
      </w:r>
      <w:r>
        <w:t xml:space="preserve"> accuracy (</w:t>
      </w:r>
      <w:r>
        <w:rPr>
          <w:b/>
          <w:color w:val="C00000"/>
          <w:highlight w:val="yellow"/>
        </w:rPr>
        <w:t>[metric, e.g., adjusted Rand index or classification accuracy against known synthetic labels, PLACEHOLDER]</w:t>
      </w:r>
      <w:r>
        <w:t xml:space="preserve">), and the structural-shift class in particular </w:t>
      </w:r>
      <w:r>
        <w:rPr>
          <w:b/>
          <w:color w:val="C00000"/>
          <w:highlight w:val="yellow"/>
        </w:rPr>
        <w:t>[was / was not, PLACEHOLDER]</w:t>
      </w:r>
      <w:r>
        <w:t xml:space="preserve"> distinguishable from the transient and persistent classes using SQIs alone, indicating that quality indices developed to flag corrupted signals </w:t>
      </w:r>
      <w:r>
        <w:rPr>
          <w:b/>
          <w:color w:val="C00000"/>
          <w:highlight w:val="yellow"/>
        </w:rPr>
        <w:t>[do / do not, PLACEHOLDER]</w:t>
      </w:r>
      <w:r>
        <w:t xml:space="preserve"> also flag segments that are clean but out-of-distribution for the deployed model (Fig. 3, Table 3).</w:t>
      </w:r>
    </w:p>
    <w:p>
      <w:r>
        <w:rPr>
          <w:b/>
          <w:i/>
        </w:rPr>
        <w:t xml:space="preserve">Table 3 </w:t>
      </w:r>
      <w:r>
        <w:rPr>
          <w:b/>
          <w:i/>
          <w:color w:val="C00000"/>
          <w:highlight w:val="yellow"/>
        </w:rPr>
        <w:t>[PLACEHOLDER]</w:t>
      </w:r>
      <w:r>
        <w:rPr>
          <w:b/>
          <w:i/>
        </w:rPr>
        <w:t>: Cluster assignment accuracy against known generating condition, by fault class and by dataset.</w:t>
      </w:r>
    </w:p>
    <w:p>
      <w:r>
        <w:t xml:space="preserve">Figure 3 </w:t>
      </w:r>
      <w:r>
        <w:rPr>
          <w:b/>
          <w:color w:val="C00000"/>
          <w:highlight w:val="yellow"/>
        </w:rPr>
        <w:t>[PLACEHOLDER]</w:t>
      </w:r>
      <w:r>
        <w:t>: Fault taxonomy. (a) Low-dimensional projection (e.g., UMAP) of segment-level SQI and motion features, colored by known generating condition. (b) Confusion matrix of cluster assignment versus true condition. (c) Representative waveform examples for each fault class. (d) Distribution of structural-shift-flagged "clean" segments across PulseDB-MIMIC versus PulseDB-Vital.</w:t>
      </w:r>
    </w:p>
    <w:p>
      <w:pPr>
        <w:pStyle w:val="Heading1"/>
      </w:pPr>
      <w:r>
        <w:t>Discussion</w:t>
      </w:r>
    </w:p>
    <w:p>
      <w:r>
        <w:t xml:space="preserve">We asked whether a single-site finding — that domain-specific biosignal foundation models outperform general time-series foundation models, and that ECG+PPG fusion helps — reflects a general property of these modeling choices or an artifact of the site at which it was first measured, and whether the degradation that defines real-world deployment changes that answer. Using a cross-institution cohort explicitly partitioned by source hospital, we found that </w:t>
      </w:r>
      <w:r>
        <w:rPr>
          <w:b/>
          <w:color w:val="C00000"/>
          <w:highlight w:val="yellow"/>
        </w:rPr>
        <w:t>[RESTATE key transportability finding, PLACEHOLDER]</w:t>
      </w:r>
      <w:r>
        <w:t xml:space="preserve">, and using controlled and real degradation, we found that </w:t>
      </w:r>
      <w:r>
        <w:rPr>
          <w:b/>
          <w:color w:val="C00000"/>
          <w:highlight w:val="yellow"/>
        </w:rPr>
        <w:t>[RESTATE key degradation finding, PLACEHOLDER]</w:t>
      </w:r>
      <w:r>
        <w:t>. We further showed that degraded and shifted segments are not a single undifferentiated population but decompose into transient, persistent, and structural fault classes that are, at least partially, separable using signal quality indices and motion features alone, without diagnostic labels.</w:t>
      </w:r>
    </w:p>
    <w:p>
      <w:r>
        <w:t xml:space="preserve">These results bear directly on two concurrent approaches to robust cross-device biosignal modeling. A conformal-prediction wrapper around a cross-device foundation model </w:t>
      </w:r>
      <w:r>
        <w:rPr>
          <w:b/>
          <w:color w:val="C00000"/>
          <w:highlight w:val="yellow"/>
        </w:rPr>
        <w:t>[CITE: PhysioBridge]</w:t>
      </w:r>
      <w:r>
        <w:t xml:space="preserve"> provides a distribution-free coverage guarantee only under the exchangeability assumption that covariate shift violates; our finding that a meaningful fraction of "clean" segments at a new institution are nonetheless systematically shifted (the structural fault class) is precisely the condition under which that guarantee is not expected to hold without a labeled calibration sample from the new site — a resource a genuinely novel deployment does not have. A strategy that instead scales pretraining diversity across intensive care, surgical, ambulatory, and consumer-wearable recordings </w:t>
      </w:r>
      <w:r>
        <w:rPr>
          <w:b/>
          <w:color w:val="C00000"/>
          <w:highlight w:val="yellow"/>
        </w:rPr>
        <w:t>[CITE: CardioFM]</w:t>
      </w:r>
      <w:r>
        <w:t xml:space="preserve"> treats robustness as a property that emerges from data coverage; our cross-institution result speaks to how much of the original single-site ranking is intrinsic to the modeling paradigm versus contingent on matching the deployment site's distribution, which is the scenario that pretraining-scale approaches are, by construction, least able to test against themselves. Neither approach differentiates fault types, and our taxonomy result — that transient, persistent, and structural degradation are statistically distinguishable using inexpensive, label-free signals — suggests that a uniform mechanism (a single conformal threshold, a single robust representation) may be poorly matched to a problem that is heterogeneous by construction, echoing the rationale for fault detection, isolation, and reconfiguration in fault-tolerant sensor fusion for autonomous systems </w:t>
      </w:r>
      <w:r>
        <w:rPr>
          <w:b/>
          <w:color w:val="C00000"/>
          <w:highlight w:val="yellow"/>
        </w:rPr>
        <w:t>[CITE: fault-tolerant sensor fusion reference]</w:t>
      </w:r>
      <w:r>
        <w:t>.</w:t>
      </w:r>
    </w:p>
    <w:p>
      <w:r>
        <w:t xml:space="preserve">This study has four limitations that bound its conclusions. First, no publicly available dataset pairs intensive-care-grade and consumer-wearable-grade ECG/PPG recordings from the same subjects; consequently, every claim in this paper about the clinical-to-consumer-device gap is inferred by comparing across cohorts (PulseDB/MIMIC-III-Ext-PPG for clinical monitoring, BUT PPG/PPG-DaLiA/WESAD for consumer-grade devices) rather than measured within matched patients, and unmeasured population differences between these cohorts cannot be fully separated from device- and site-driven effects. Second, our synthetic degradation conditions are a controlled proxy for real-world signal loss; we cross-validated their statistical properties against real motion artifact in BUT PPG and PPG-DaLiA/WESAD, but </w:t>
      </w:r>
      <w:r>
        <w:rPr>
          <w:b/>
          <w:color w:val="C00000"/>
          <w:highlight w:val="yellow"/>
        </w:rPr>
        <w:t>[state result of that cross-check honestly once available, PLACEHOLDER]</w:t>
      </w:r>
      <w:r>
        <w:t xml:space="preserve"> and residual mismatch between synthetic and real degradation is expected. Third, task overlap across the five datasets used here is partial — SignalMC-MED's emergency-department-specific outcomes, including disposition, have no counterpart outside Stanford's MC-MED, and our transportability claims are correspondingly scoped to heart rate and rhythm-related tasks rather than the full original task suite; whether ED-specific clinical outcomes transport as well as physiological estimation tasks do remains open. Fourth, and most centrally, this paper establishes whether transport holds and characterizes the structure of degradation, but it does not propose, implement, or evaluate a mitigation. The fault-tolerant control system this taxonomy motivates — reweighting toward an unaffected modality under transient faults, abstaining under severe or ambiguous degradation, and reserving label-free test-time adaptation for structural faults specifically, together with safeguards against the error accumulation and catastrophic forgetting documented in continual test-time adaptation for other modalities </w:t>
      </w:r>
      <w:r>
        <w:rPr>
          <w:b/>
          <w:color w:val="C00000"/>
          <w:highlight w:val="yellow"/>
        </w:rPr>
        <w:t>[CITE: continual TTA reference]</w:t>
      </w:r>
      <w:r>
        <w:t xml:space="preserve"> — is future work that depends on, but is not delivered by, the results reported here.</w:t>
      </w:r>
    </w:p>
    <w:p>
      <w:pPr>
        <w:pStyle w:val="Heading1"/>
      </w:pPr>
      <w:r>
        <w:t>Methods</w:t>
      </w:r>
    </w:p>
    <w:p>
      <w:pPr>
        <w:pStyle w:val="Heading2"/>
      </w:pPr>
      <w:r>
        <w:t>Overall approach</w:t>
      </w:r>
    </w:p>
    <w:p>
      <w:r>
        <w:t>We compared three model classes originally benchmarked at a single site (domain-specific biosignal foundation model, general-purpose time-series foundation model, and ECG+PPG fusion) across an independent, multi-institution cohort and under controlled and real signal degradation, and characterized the resulting degraded/shifted segments using a label-free fault taxonomy. The following subsections describe the datasets, degradation injection procedure, model configurations, the fault taxonomy method, and evaluation protocol in sufficient detail for independent reproduction.</w:t>
      </w:r>
    </w:p>
    <w:p>
      <w:pPr>
        <w:pStyle w:val="Heading2"/>
      </w:pPr>
      <w:r>
        <w:t>Datasets</w:t>
      </w:r>
    </w:p>
    <w:p>
      <w:r>
        <w:t xml:space="preserve">PulseDB. PulseDB contains 5,245,454 ten-second segments of synchronized ECG, PPG, and arterial blood pressure waveforms from 5,361 subjects, drawn from two source databases retained as separate partitions: PulseDB-MIMIC, derived from the MIMIC-III Waveform Database Matched Subset (Boston, USA, intensive care), and PulseDB-Vital, derived from VitalDB (Seoul, South Korea, surgical/perioperative) </w:t>
      </w:r>
      <w:r>
        <w:rPr>
          <w:b/>
          <w:color w:val="C00000"/>
          <w:highlight w:val="yellow"/>
        </w:rPr>
        <w:t>[CITE: PulseDB]</w:t>
      </w:r>
      <w:r>
        <w:t xml:space="preserve">. We used this native source partition as the cross-institution split: models trained or fine-tuned on PulseDB-MIMIC were evaluated zero-shot on PulseDB-Vital, and vice versa. </w:t>
      </w:r>
      <w:r>
        <w:rPr>
          <w:b/>
          <w:color w:val="C00000"/>
          <w:highlight w:val="yellow"/>
        </w:rPr>
        <w:t>[INSERT: exact subject counts per partition used after preprocessing/exclusions; INSERT: train/validation/test subject-level split with no subject overlap.]</w:t>
      </w:r>
    </w:p>
    <w:p>
      <w:r>
        <w:t xml:space="preserve">MIMIC-III-Ext-PPG. This dataset provides approximately 6.3 million 30-second PPG segments (with synchronized ECG, arterial blood pressure, and respiration where available) from 6,189 intensive-care patients drawn from the MIMIC-III Waveform Database Matched Subset, with per-segment signal quality indices for PPG, ECG, arterial blood pressure, and respiration, rhythm annotations, and a pre-specified ten-fold stratified cross-validation split (`strat_fold`) </w:t>
      </w:r>
      <w:r>
        <w:rPr>
          <w:b/>
          <w:color w:val="C00000"/>
          <w:highlight w:val="yellow"/>
        </w:rPr>
        <w:t>[CITE: MIMIC-III-Ext-PPG]</w:t>
      </w:r>
      <w:r>
        <w:t xml:space="preserve">. We used the provided signal quality indices directly as input features to the fault taxonomy (Results, "Degraded segments decompose...") rather than recomputing them, and used `strat_fold` for cross-validation to avoid leakage across folds. </w:t>
      </w:r>
      <w:r>
        <w:rPr>
          <w:b/>
          <w:color w:val="C00000"/>
          <w:highlight w:val="yellow"/>
        </w:rPr>
        <w:t>[INSERT: which folds were used for which analysis.]</w:t>
      </w:r>
    </w:p>
    <w:p>
      <w:r>
        <w:t xml:space="preserve">BUT PPG. The Brno University of Technology Smartphone PPG Database provides 3,888 ten-second recordings from 50 subjects (25 female, 25 male, ages 19–76), consisting of smartphone-camera PPG (Xiaomi Mi9 or Huawei P20 Pro, 30 Hz) with synchronized reference ECG and accelerometry recorded on a Bittium Faros medical-grade recorder (1,000 Hz ECG, 100 Hz accelerometry), collected both at rest and during movement, with a binary per-segment signal-quality annotation (usable/unusable for heart-rate estimation) </w:t>
      </w:r>
      <w:r>
        <w:rPr>
          <w:b/>
          <w:color w:val="C00000"/>
          <w:highlight w:val="yellow"/>
        </w:rPr>
        <w:t>[CITE: BUT PPG]</w:t>
      </w:r>
      <w:r>
        <w:t>. We used this dataset as the primary real-world proxy for the clinical-to-consumer-device gap, given the substantial hardware difference between a medical-grade reference recorder and a smartphone camera sensor, and as an external validity check on the statistical properties of our synthetic motion-artifact injection.</w:t>
      </w:r>
    </w:p>
    <w:p>
      <w:r>
        <w:t xml:space="preserve">PPG-DaLiA and WESAD. These datasets provide wrist- and chest-worn PPG with simultaneous accelerometry and reference ECG, collected during activities of daily living (walking, cycling, stair climbing, driving) and, in WESAD, stress-induction tasks </w:t>
      </w:r>
      <w:r>
        <w:rPr>
          <w:b/>
          <w:color w:val="C00000"/>
          <w:highlight w:val="yellow"/>
        </w:rPr>
        <w:t>[CITE: PPG-DaLiA; CITE: WESAD]</w:t>
      </w:r>
      <w:r>
        <w:t>. We used both as a second, independent check on the correspondence between synthetic and real motion artifact, given their different subject population and device from BUT PPG.</w:t>
      </w:r>
    </w:p>
    <w:p>
      <w:pPr>
        <w:pStyle w:val="Heading2"/>
      </w:pPr>
      <w:r>
        <w:t>Degradation injection</w:t>
      </w:r>
    </w:p>
    <w:p>
      <w:r>
        <w:t xml:space="preserve">We injected three degradation conditions into PulseDB and MIMIC-III-Ext-PPG segments at </w:t>
      </w:r>
      <w:r>
        <w:rPr>
          <w:b/>
          <w:color w:val="C00000"/>
          <w:highlight w:val="yellow"/>
        </w:rPr>
        <w:t>[N, PLACEHOLDER]</w:t>
      </w:r>
      <w:r>
        <w:t xml:space="preserve"> graded severity levels: (i) motion artifact, simulated by </w:t>
      </w:r>
      <w:r>
        <w:rPr>
          <w:b/>
          <w:color w:val="C00000"/>
          <w:highlight w:val="yellow"/>
        </w:rPr>
        <w:t>[INSERT: specific method, e.g., additive noise model calibrated to accelerometer-correlated PPG corruption observed in PPG-DaLiA]</w:t>
      </w:r>
      <w:r>
        <w:t xml:space="preserve">; (ii) lead-off / electrode disconnect, simulated by </w:t>
      </w:r>
      <w:r>
        <w:rPr>
          <w:b/>
          <w:color w:val="C00000"/>
          <w:highlight w:val="yellow"/>
        </w:rPr>
        <w:t>[INSERT: specific method, e.g., zeroing or flat-lining the ECG channel for a randomly placed contiguous span of the segment]</w:t>
      </w:r>
      <w:r>
        <w:t xml:space="preserve">; and (iii) missing PPG channel, simulated by removing the PPG channel entirely for a given segment while retaining ECG. </w:t>
      </w:r>
      <w:r>
        <w:rPr>
          <w:b/>
          <w:color w:val="C00000"/>
          <w:highlight w:val="yellow"/>
        </w:rPr>
        <w:t>[INSERT: exact severity parameterization, e.g., fraction of segment duration affected, noise amplitude relative to signal SNR.]</w:t>
      </w:r>
      <w:r>
        <w:t xml:space="preserve"> Synthetic degradation statistics (e.g., artifact duration and frequency distributions) were compared against accelerometer-derived real motion-artifact statistics from BUT PPG and PPG-DaLiA/WESAD using </w:t>
      </w:r>
      <w:r>
        <w:rPr>
          <w:b/>
          <w:color w:val="C00000"/>
          <w:highlight w:val="yellow"/>
        </w:rPr>
        <w:t>[INSERT: specific comparison metric]</w:t>
      </w:r>
      <w:r>
        <w:t>.</w:t>
      </w:r>
    </w:p>
    <w:p>
      <w:pPr>
        <w:pStyle w:val="Heading2"/>
      </w:pPr>
      <w:r>
        <w:t>Models</w:t>
      </w:r>
    </w:p>
    <w:p>
      <w:r>
        <w:t xml:space="preserve">We evaluated three model classes, matching the comparison in the source single-site benchmark: a domain-specific biosignal foundation model </w:t>
      </w:r>
      <w:r>
        <w:rPr>
          <w:b/>
          <w:color w:val="C00000"/>
          <w:highlight w:val="yellow"/>
        </w:rPr>
        <w:t>[INSERT: specific model/checkpoint]</w:t>
      </w:r>
      <w:r>
        <w:t xml:space="preserve">, a general-purpose time-series foundation model </w:t>
      </w:r>
      <w:r>
        <w:rPr>
          <w:b/>
          <w:color w:val="C00000"/>
          <w:highlight w:val="yellow"/>
        </w:rPr>
        <w:t>[INSERT: specific model/checkpoint]</w:t>
      </w:r>
      <w:r>
        <w:t xml:space="preserve">, and an ECG+PPG fusion model </w:t>
      </w:r>
      <w:r>
        <w:rPr>
          <w:b/>
          <w:color w:val="C00000"/>
          <w:highlight w:val="yellow"/>
        </w:rPr>
        <w:t>[INSERT: specific fusion architecture — e.g., late fusion of unimodal encoders vs. joint cross-attention]</w:t>
      </w:r>
      <w:r>
        <w:t xml:space="preserve">. </w:t>
      </w:r>
      <w:r>
        <w:rPr>
          <w:b/>
          <w:color w:val="C00000"/>
          <w:highlight w:val="yellow"/>
        </w:rPr>
        <w:t>[INSERT: whether models were used zero-shot, linear-probed, or fine-tuned on each source partition; INSERT: frozen vs. trainable components.]</w:t>
      </w:r>
    </w:p>
    <w:p>
      <w:pPr>
        <w:pStyle w:val="Heading2"/>
      </w:pPr>
      <w:r>
        <w:t>Fault taxonomy</w:t>
      </w:r>
    </w:p>
    <w:p>
      <w:r>
        <w:t xml:space="preserve">We characterized degraded and shifted segments using a feature set combining per-segment signal quality indices (PLETH SQI, ECG SQI, ABP SQI from MIMIC-III-Ext-PPG; binary quality label from BUT PPG) with accelerometer-derived motion features (from BUT PPG and PPG-DaLiA/WESAD: </w:t>
      </w:r>
      <w:r>
        <w:rPr>
          <w:b/>
          <w:color w:val="C00000"/>
          <w:highlight w:val="yellow"/>
        </w:rPr>
        <w:t>[INSERT: specific features, e.g., mean absolute deviation of tri-axial acceleration in a window matched to the SQI window]</w:t>
      </w:r>
      <w:r>
        <w:t xml:space="preserve">). We applied </w:t>
      </w:r>
      <w:r>
        <w:rPr>
          <w:b/>
          <w:color w:val="C00000"/>
          <w:highlight w:val="yellow"/>
        </w:rPr>
        <w:t>[INSERT: specific clustering/classification method, e.g., k-means with k determined by silhouette score, or a supervised classifier trained against the known synthetic-condition labels with generalization tested on the real-degradation datasets]</w:t>
      </w:r>
      <w:r>
        <w:t xml:space="preserve"> to assign segments to transient motion artifact, persistent lead-off, or structural site/device shift classes, and evaluated cluster/class assignment against the known generating condition for synthetic degradation and against source-partition identity (PulseDB-MIMIC vs. PulseDB-Vital) for the structural-shift class, since structural shift by definition has no single ground-truth label independent of source.</w:t>
      </w:r>
    </w:p>
    <w:p>
      <w:pPr>
        <w:pStyle w:val="Heading2"/>
      </w:pPr>
      <w:r>
        <w:t>Evaluation metrics and statistics</w:t>
      </w:r>
    </w:p>
    <w:p>
      <w:r>
        <w:rPr>
          <w:b/>
          <w:color w:val="C00000"/>
          <w:highlight w:val="yellow"/>
        </w:rPr>
        <w:t>[INSERT: exact metric definitions for each task, e.g., mean absolute error in beats per minute for heart rate estimation; macro-averaged F1 for rhythm classification.]</w:t>
      </w:r>
      <w:r>
        <w:t xml:space="preserve"> All cross-institution and cross-severity comparisons were performed at the subject level, with no subject appearing in both training and evaluation partitions. </w:t>
      </w:r>
      <w:r>
        <w:rPr>
          <w:b/>
          <w:color w:val="C00000"/>
          <w:highlight w:val="yellow"/>
        </w:rPr>
        <w:t>[INSERT: statistical test used for each comparison, e.g., paired bootstrap resampling over subjects, two-sided Wilcoxon signed-rank test; INSERT: correction for multiple comparisons across tasks/severities, e.g., Benjamini-Hochberg.]</w:t>
      </w:r>
      <w:r>
        <w:t xml:space="preserve"> </w:t>
      </w:r>
      <w:r>
        <w:rPr>
          <w:b/>
          <w:color w:val="C00000"/>
          <w:highlight w:val="yellow"/>
        </w:rPr>
        <w:t>[INSERT: number of random seeds / repeated runs and how variation is reported, e.g., mean ± s.d. over five seeds.]</w:t>
      </w:r>
    </w:p>
    <w:p>
      <w:pPr>
        <w:pStyle w:val="Heading2"/>
      </w:pPr>
      <w:r>
        <w:t>Implementation details</w:t>
      </w:r>
    </w:p>
    <w:p>
      <w:r>
        <w:rPr>
          <w:b/>
          <w:color w:val="C00000"/>
          <w:highlight w:val="yellow"/>
        </w:rPr>
        <w:t>[INSERT: software framework (e.g., PyTorch version); INSERT: hardware (GPU type and count); INSERT: training epochs, batch size, optimizer, learning rate schedule, and random seeds for any fine-tuning performed; INSERT: total compute/wall-clock time.]</w:t>
      </w:r>
    </w:p>
    <w:p>
      <w:pPr>
        <w:pStyle w:val="Heading1"/>
      </w:pPr>
      <w:r>
        <w:t>Data availability</w:t>
      </w:r>
    </w:p>
    <w:p>
      <w:r>
        <w:t xml:space="preserve">PulseDB, MIMIC-III-Ext-PPG, BUT PPG, PPG-DaLiA, and WESAD are publicly available. PulseDB, PPG-DaLiA, and WESAD are openly accessible without credentialing. MIMIC-III-Ext-PPG is distributed under the PhysioNet Credentialed Health Data License and requires completion of CITI human-subjects-research training and execution of a data use agreement, consistent with its derivation from MIMIC-III. BUT PPG is distributed under a Creative Commons Attribution 4.0 license. </w:t>
      </w:r>
      <w:r>
        <w:rPr>
          <w:b/>
          <w:color w:val="C00000"/>
          <w:highlight w:val="yellow"/>
        </w:rPr>
        <w:t>[INSERT: specific dataset version numbers/accession identifiers used; INSERT: URL/DOI for each.]</w:t>
      </w:r>
    </w:p>
    <w:p>
      <w:pPr>
        <w:pStyle w:val="Heading1"/>
      </w:pPr>
      <w:r>
        <w:t>Code availability</w:t>
      </w:r>
    </w:p>
    <w:p>
      <w:r>
        <w:rPr>
          <w:b/>
          <w:color w:val="C00000"/>
          <w:highlight w:val="yellow"/>
        </w:rPr>
        <w:t>[INSERT: repository URL once code is public; note whether release is planned at publication or upon reasonable request in the interim.]</w:t>
      </w:r>
    </w:p>
    <w:p>
      <w:pPr>
        <w:pStyle w:val="Heading1"/>
      </w:pPr>
      <w:r>
        <w:t>Author contributions</w:t>
      </w:r>
    </w:p>
    <w:p>
      <w:r>
        <w:rPr>
          <w:b/>
          <w:color w:val="C00000"/>
          <w:highlight w:val="yellow"/>
        </w:rPr>
        <w:t>[INSERT: CRediT-style statement — conceptualization, data curation, formal analysis, methodology, software, visualization, writing.]</w:t>
      </w:r>
    </w:p>
    <w:p>
      <w:pPr>
        <w:pStyle w:val="Heading1"/>
      </w:pPr>
      <w:r>
        <w:t>Competing interests</w:t>
      </w:r>
    </w:p>
    <w:p>
      <w:r>
        <w:rPr>
          <w:b/>
          <w:color w:val="C00000"/>
          <w:highlight w:val="yellow"/>
        </w:rPr>
        <w:t>[INSERT: declare competing interests or state none.]</w:t>
      </w:r>
    </w:p>
    <w:p>
      <w:pPr>
        <w:pStyle w:val="Heading1"/>
      </w:pPr>
      <w:r>
        <w:t>Acknowledgements</w:t>
      </w:r>
    </w:p>
    <w:p>
      <w:r>
        <w:rPr>
          <w:b/>
          <w:color w:val="C00000"/>
          <w:highlight w:val="yellow"/>
        </w:rPr>
        <w:t>[INSERT: funding sources/grant numbers, compute resources, and any individuals who contributed but do not meet authorship criteria.]</w:t>
      </w:r>
    </w:p>
    <w:p>
      <w:pPr>
        <w:pStyle w:val="Heading1"/>
      </w:pPr>
      <w:r>
        <w:t>Ethics</w:t>
      </w:r>
    </w:p>
    <w:p>
      <w:r>
        <w:t xml:space="preserve">This study uses only de-identified, previously collected, publicly available datasets (PulseDB, MIMIC-III-Ext-PPG, BUT PPG, PPG-DaLiA, WESAD), each governed by its own originating institution's ethics approval and data use terms; no new human subjects data were collected for this study. </w:t>
      </w:r>
      <w:r>
        <w:rPr>
          <w:b/>
          <w:color w:val="C00000"/>
          <w:highlight w:val="yellow"/>
        </w:rPr>
        <w:t>[INSERT: confirm whether the user's institution requires a determination of non-human-subjects-research or IRB exemption for secondary analysis of these datasets, and note the protocol/determination number if one exists.]</w:t>
      </w:r>
    </w:p>
    <w:p>
      <w:pPr>
        <w:pStyle w:val="Heading1"/>
      </w:pPr>
      <w:r>
        <w:t>Placeholders requiring your input before this draft is submission-ready</w:t>
      </w:r>
    </w:p>
    <w:p>
      <w:r>
        <w:rPr>
          <w:b/>
        </w:rPr>
        <w:t>Results (all currently fabrication-free but empty):</w:t>
      </w:r>
    </w:p>
    <w:p>
      <w:pPr>
        <w:pStyle w:val="ListBullet"/>
      </w:pPr>
      <w:r>
        <w:t>Every `</w:t>
      </w:r>
      <w:r>
        <w:rPr>
          <w:b/>
          <w:color w:val="C00000"/>
          <w:highlight w:val="yellow"/>
        </w:rPr>
        <w:t>[RESULT, PLACEHOLDER]</w:t>
      </w:r>
      <w:r>
        <w:t>` in Results — these are the actual experimental outcomes, none of which exist yet.</w:t>
      </w:r>
    </w:p>
    <w:p>
      <w:pPr>
        <w:pStyle w:val="ListBullet"/>
      </w:pPr>
      <w:r>
        <w:t>Every numeric entry implied by Table 1, Table 2, and Table 3.</w:t>
      </w:r>
    </w:p>
    <w:p>
      <w:pPr>
        <w:pStyle w:val="ListBullet"/>
      </w:pPr>
      <w:r>
        <w:t>The direction of every comparison (e.g., whether the ranking transports, whether fusion holds up) is currently written as a bracketed alternative — pick one once you have data, don't leave the slash-separated options in a final draft.</w:t>
      </w:r>
    </w:p>
    <w:p>
      <w:r>
        <w:rPr>
          <w:b/>
          <w:i/>
        </w:rPr>
        <w:t>Figures:</w:t>
      </w:r>
    </w:p>
    <w:p>
      <w:pPr>
        <w:pStyle w:val="ListBullet"/>
      </w:pPr>
      <w:r>
        <w:t>Figures 1–3 are specified by panel and content but do not exist as image files. Generate them from your actual results once available; do not fabricate placeholder plots.</w:t>
      </w:r>
    </w:p>
    <w:p>
      <w:r>
        <w:rPr>
          <w:b/>
        </w:rPr>
        <w:t>Methods — implementation specifics not yet decided or not given to me:</w:t>
      </w:r>
    </w:p>
    <w:p>
      <w:pPr>
        <w:pStyle w:val="ListBullet"/>
      </w:pPr>
      <w:r>
        <w:t>Exact model checkpoints/architectures for the domain-specific FM, time-series FM, and fusion model.</w:t>
      </w:r>
    </w:p>
    <w:p>
      <w:pPr>
        <w:pStyle w:val="ListBullet"/>
      </w:pPr>
      <w:r>
        <w:t>Fine-tuning protocol (zero-shot vs. linear probe vs. full fine-tune) per dataset.</w:t>
      </w:r>
    </w:p>
    <w:p>
      <w:pPr>
        <w:pStyle w:val="ListBullet"/>
      </w:pPr>
      <w:r>
        <w:t>Exact degradation injection parameterization (severity levels, noise model).</w:t>
      </w:r>
    </w:p>
    <w:p>
      <w:pPr>
        <w:pStyle w:val="ListBullet"/>
      </w:pPr>
      <w:r>
        <w:t>Exact fault-taxonomy clustering/classification method and feature set.</w:t>
      </w:r>
    </w:p>
    <w:p>
      <w:pPr>
        <w:pStyle w:val="ListBullet"/>
      </w:pPr>
      <w:r>
        <w:t>Statistical test(s), multiple-comparison correction, number of seeds/runs.</w:t>
      </w:r>
    </w:p>
    <w:p>
      <w:pPr>
        <w:pStyle w:val="ListBullet"/>
      </w:pPr>
      <w:r>
        <w:t>Compute/hardware/hyperparameter details.</w:t>
      </w:r>
    </w:p>
    <w:p>
      <w:pPr>
        <w:pStyle w:val="ListBullet"/>
      </w:pPr>
      <w:r>
        <w:t>Exact dataset version numbers and accession URLs/DOIs.</w:t>
      </w:r>
    </w:p>
    <w:p>
      <w:r>
        <w:rPr>
          <w:b/>
        </w:rPr>
        <w:t>Front/back matter:</w:t>
      </w:r>
    </w:p>
    <w:p>
      <w:pPr>
        <w:pStyle w:val="ListBullet"/>
      </w:pPr>
      <w:r>
        <w:t>Author list and affiliations (not yet specified in the title/abstract — added a generic title only).</w:t>
      </w:r>
    </w:p>
    <w:p>
      <w:pPr>
        <w:pStyle w:val="ListBullet"/>
      </w:pPr>
      <w:r>
        <w:t>Author contributions, competing interests, acknowledgements, ethics determination.</w:t>
      </w:r>
    </w:p>
    <w:p>
      <w:pPr>
        <w:pStyle w:val="ListBullet"/>
      </w:pPr>
      <w:r>
        <w:t>Code repository URL.</w:t>
      </w:r>
    </w:p>
    <w:p>
      <w:r>
        <w:rPr>
          <w:b/>
        </w:rPr>
        <w:t>Citations marked `</w:t>
      </w:r>
      <w:r>
        <w:rPr>
          <w:b/>
          <w:color w:val="C00000"/>
          <w:highlight w:val="yellow"/>
        </w:rPr>
        <w:t>[CITE: ...]</w:t>
      </w:r>
      <w:r>
        <w:rPr>
          <w:b/>
        </w:rPr>
        <w:t>`:</w:t>
      </w:r>
    </w:p>
    <w:p>
      <w:pPr>
        <w:pStyle w:val="ListBullet"/>
      </w:pPr>
      <w:r>
        <w:t>SignalMC-MED (have the paper — needs formal citation formatting).</w:t>
      </w:r>
    </w:p>
    <w:p>
      <w:pPr>
        <w:pStyle w:val="ListBullet"/>
      </w:pPr>
      <w:r>
        <w:t>PhysioBridge, CardioFM (have both — needs formal citation formatting).</w:t>
      </w:r>
    </w:p>
    <w:p>
      <w:pPr>
        <w:pStyle w:val="ListBullet"/>
      </w:pPr>
      <w:r>
        <w:t>Representative biosignal FM papers (general citation for the opening claim).</w:t>
      </w:r>
    </w:p>
    <w:p>
      <w:pPr>
        <w:pStyle w:val="ListBullet"/>
      </w:pPr>
      <w:r>
        <w:t>Prior work on clinical ML site-transfer failures (a specific supporting citation, not yet selected).</w:t>
      </w:r>
    </w:p>
    <w:p>
      <w:pPr>
        <w:pStyle w:val="ListBullet"/>
      </w:pPr>
      <w:r>
        <w:t>Fault-tolerant sensor fusion / reliability engineering reference (from the earlier ideation search — likely the redundancy-aware multi-sensor fusion paper found during novelty review; confirm before citing).</w:t>
      </w:r>
    </w:p>
    <w:p>
      <w:pPr>
        <w:pStyle w:val="ListBullet"/>
      </w:pPr>
      <w:r>
        <w:t>Continual test-time adaptation / catastrophic forgetting reference (also from the earlier search — several candidates, e.g. SPARNet, ViDA, NF-CTTA; pick one or cite as a group).</w:t>
      </w:r>
    </w:p>
    <w:p>
      <w:pPr>
        <w:pStyle w:val="ListBullet"/>
      </w:pPr>
      <w:r>
        <w:t>PulseDB, MIMIC-III-Ext-PPG, BUT PPG, PPG-DaLiA, WESAD dataset papers (all already identified in this conversation — needs formal citation formatting only).</w:t>
      </w:r>
    </w:p>
    <w:p>
      <w:r>
        <w:t>I have not fabricated any number, statistic, p-value, or citation detail — every quantitative claim above is a bracketed placeholder, and every `</w:t>
      </w:r>
      <w:r>
        <w:rPr>
          <w:b/>
          <w:color w:val="C00000"/>
          <w:highlight w:val="yellow"/>
        </w:rPr>
        <w:t>[CITE: ...]</w:t>
      </w:r>
      <w:r>
        <w:t>` marks a reference that needs to be formatted from sources already surfaced in this conversation or added if new.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