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324E0" w14:textId="182E7E9E" w:rsidR="00054B10" w:rsidRDefault="00054B10" w:rsidP="009647C5">
      <w:pPr>
        <w:spacing w:line="360" w:lineRule="auto"/>
      </w:pPr>
      <w:r>
        <w:t>Introduction</w:t>
      </w:r>
    </w:p>
    <w:p w14:paraId="0370125C" w14:textId="77777777" w:rsidR="00054B10" w:rsidRDefault="00054B10" w:rsidP="009647C5">
      <w:pPr>
        <w:spacing w:line="360" w:lineRule="auto"/>
      </w:pPr>
    </w:p>
    <w:p w14:paraId="31E8FC19" w14:textId="760A47C4" w:rsidR="00A365AB" w:rsidRDefault="00A365AB" w:rsidP="009647C5">
      <w:pPr>
        <w:spacing w:line="360" w:lineRule="auto"/>
      </w:pPr>
      <w:r>
        <w:t>Many events and trends impacting the freedom of individuals have occurred from 2008 to 2016. Starting with the financial crisis in 2008, the fallout of which severely affected the life-trajectories of many of the people not responsible for it</w:t>
      </w:r>
      <w:r w:rsidR="00716BA0">
        <w:t xml:space="preserve"> (Greenstone et al., 2011).</w:t>
      </w:r>
      <w:r w:rsidR="003113D6">
        <w:t xml:space="preserve"> Similar outcomes in poverty, redundancies and inequality were the </w:t>
      </w:r>
      <w:r w:rsidR="00E85C0E">
        <w:t>result</w:t>
      </w:r>
      <w:r w:rsidR="003113D6">
        <w:t xml:space="preserve"> of years of EU-administered austerity </w:t>
      </w:r>
      <w:r w:rsidR="00E85C0E">
        <w:t>measures</w:t>
      </w:r>
      <w:r w:rsidR="003113D6">
        <w:t xml:space="preserve"> in Greece (</w:t>
      </w:r>
      <w:r w:rsidR="00D611D5" w:rsidRPr="00D611D5">
        <w:t>Matsaganis, 2013</w:t>
      </w:r>
      <w:r w:rsidR="00D611D5">
        <w:t xml:space="preserve">; </w:t>
      </w:r>
      <w:r w:rsidR="00D611D5" w:rsidRPr="00D611D5">
        <w:t>Stylianidis</w:t>
      </w:r>
      <w:r w:rsidR="00D611D5">
        <w:t xml:space="preserve"> &amp; </w:t>
      </w:r>
      <w:r w:rsidR="00D611D5" w:rsidRPr="00D611D5">
        <w:t>Souliotis</w:t>
      </w:r>
      <w:r w:rsidR="00D611D5">
        <w:t>, 2019</w:t>
      </w:r>
      <w:r w:rsidR="003113D6">
        <w:t>)</w:t>
      </w:r>
      <w:r w:rsidR="000355E9">
        <w:t>.</w:t>
      </w:r>
      <w:r w:rsidR="00792BDD">
        <w:t xml:space="preserve"> The 2010s also brought with them a rise in authoritarianism which has yet to </w:t>
      </w:r>
      <w:r w:rsidR="003B27DD">
        <w:t>recede</w:t>
      </w:r>
      <w:r w:rsidR="00792BDD">
        <w:t xml:space="preserve"> (Weill, 2021).</w:t>
      </w:r>
      <w:r w:rsidR="003B27DD">
        <w:t xml:space="preserve"> This went hand in hand with an erosion of privacy</w:t>
      </w:r>
      <w:r w:rsidR="00E30BE5">
        <w:t xml:space="preserve"> and rise of mass-surveillance</w:t>
      </w:r>
      <w:r w:rsidR="003B27DD">
        <w:t xml:space="preserve"> under the guise of anti-terrorism in the western world</w:t>
      </w:r>
      <w:r w:rsidR="00E30BE5">
        <w:t xml:space="preserve"> (Bauman et al., 2014)</w:t>
      </w:r>
      <w:r w:rsidR="003B27DD">
        <w:t xml:space="preserve">, while internet censorship became more widely </w:t>
      </w:r>
      <w:r w:rsidR="000D00D7">
        <w:t>employed</w:t>
      </w:r>
      <w:r w:rsidR="003B27DD">
        <w:t xml:space="preserve"> in countries like China or </w:t>
      </w:r>
      <w:r w:rsidR="000D00D7">
        <w:t>Saudi Arabia, among others (York, 2022). Toward the end of th</w:t>
      </w:r>
      <w:r w:rsidR="00236128">
        <w:t xml:space="preserve">is </w:t>
      </w:r>
      <w:r w:rsidR="000D00D7">
        <w:t>time frame the Syrian civil war had displaced millions, resulting in immigration law changes across Europe</w:t>
      </w:r>
      <w:r w:rsidR="00DD165F">
        <w:t xml:space="preserve"> (Hernes, 2018; Hatton, 2020</w:t>
      </w:r>
      <w:r w:rsidR="00A16577">
        <w:t>)</w:t>
      </w:r>
      <w:r w:rsidR="000D00D7">
        <w:t>.</w:t>
      </w:r>
      <w:r w:rsidR="004979D8">
        <w:t xml:space="preserve"> </w:t>
      </w:r>
      <w:r w:rsidR="00C33785">
        <w:t xml:space="preserve">Although these developments are only some of the most egregious violations of personal freedom across this span of years, they </w:t>
      </w:r>
      <w:r w:rsidR="004979D8">
        <w:t xml:space="preserve">have </w:t>
      </w:r>
      <w:r w:rsidR="00C33785">
        <w:t>contributed</w:t>
      </w:r>
      <w:r w:rsidR="004D699B">
        <w:t xml:space="preserve"> significantly</w:t>
      </w:r>
      <w:r w:rsidR="00C33785">
        <w:t xml:space="preserve"> </w:t>
      </w:r>
      <w:r w:rsidR="004979D8">
        <w:t>to gradual decreases in individual liberties.</w:t>
      </w:r>
    </w:p>
    <w:p w14:paraId="0A988B06" w14:textId="1B008B26" w:rsidR="007E3E31" w:rsidRDefault="00D43797" w:rsidP="009647C5">
      <w:pPr>
        <w:spacing w:line="360" w:lineRule="auto"/>
      </w:pPr>
      <w:r>
        <w:t xml:space="preserve">One conceptualization of personal liberties popularized in </w:t>
      </w:r>
      <w:r w:rsidRPr="00D43797">
        <w:t>Isaiah Berlin</w:t>
      </w:r>
      <w:r>
        <w:t xml:space="preserve">’s 1958 </w:t>
      </w:r>
      <w:r>
        <w:rPr>
          <w:i/>
          <w:iCs/>
        </w:rPr>
        <w:t>Two Concepts of Liberty</w:t>
      </w:r>
      <w:r>
        <w:t xml:space="preserve">, is the differentiation between positive and negative liberty. </w:t>
      </w:r>
      <w:r w:rsidR="005F61D5">
        <w:t>While the latter refers to a freedom from restraint or being prevented from doing things, the prior</w:t>
      </w:r>
      <w:r w:rsidR="0052089A">
        <w:t xml:space="preserve"> assumes the presence of something allowing the achievement of certain ends (Stanford </w:t>
      </w:r>
      <w:r w:rsidR="0052089A" w:rsidRPr="0052089A">
        <w:t>Encyclopedia of Philosophy</w:t>
      </w:r>
      <w:r w:rsidR="0052089A">
        <w:t>, 2021).</w:t>
      </w:r>
      <w:r w:rsidR="007E73C6">
        <w:t xml:space="preserve"> </w:t>
      </w:r>
      <w:r w:rsidR="007E73C6" w:rsidRPr="007E73C6">
        <w:t>Although admittedly, Berlin’s concept is a simple one and has been criticized thusly (e.g., Stanford Encyclopedia of Philosophy, 2021), it can still serve as a starting point in investigating the development of individual liberties from 2008 to 2016.</w:t>
      </w:r>
      <w:r w:rsidR="007E73C6">
        <w:t xml:space="preserve"> </w:t>
      </w:r>
      <w:r w:rsidR="00F91D3A">
        <w:t xml:space="preserve">An example </w:t>
      </w:r>
      <w:r w:rsidR="009F11CD">
        <w:t>of</w:t>
      </w:r>
      <w:r w:rsidR="00D32981">
        <w:t xml:space="preserve"> negative liberty could </w:t>
      </w:r>
      <w:r w:rsidR="00243942">
        <w:t xml:space="preserve">be </w:t>
      </w:r>
      <w:r w:rsidR="009F11CD">
        <w:t>the removal of border checks, removing a restraint that would potentially disallow freedom of movement. Examples of positive liberties may be the affordable care act established in the US in 2010 or the legalization of same-sex marriages across a number of countries during the 2010s.</w:t>
      </w:r>
      <w:r w:rsidR="0007551D">
        <w:t xml:space="preserve"> </w:t>
      </w:r>
      <w:r w:rsidR="007E73C6">
        <w:t>Whereas these liberal successes during the time frame exist, there does seem to be a gradual decrease of personal freedoms within the given time frame, especially referring back to the previous paragraph.</w:t>
      </w:r>
      <w:r w:rsidR="007E3E31">
        <w:t xml:space="preserve"> Thus, in the following, the question </w:t>
      </w:r>
      <w:r w:rsidR="007E3E31">
        <w:lastRenderedPageBreak/>
        <w:t>of how</w:t>
      </w:r>
      <w:r w:rsidR="00A7754B">
        <w:t xml:space="preserve"> positive and negative</w:t>
      </w:r>
      <w:r w:rsidR="007E3E31">
        <w:t xml:space="preserve"> libert</w:t>
      </w:r>
      <w:r w:rsidR="00A7754B">
        <w:t>ies</w:t>
      </w:r>
      <w:r w:rsidR="007E3E31">
        <w:t xml:space="preserve"> </w:t>
      </w:r>
      <w:r w:rsidR="00A7754B">
        <w:t xml:space="preserve">have </w:t>
      </w:r>
      <w:r w:rsidR="007E3E31">
        <w:t>developed during the years between 2008 and 2016 will be inv</w:t>
      </w:r>
      <w:r w:rsidR="00B60AB8">
        <w:t>estigated</w:t>
      </w:r>
      <w:r w:rsidR="007E3E31">
        <w:t>.</w:t>
      </w:r>
    </w:p>
    <w:p w14:paraId="0B851145" w14:textId="0CE2D797" w:rsidR="004D699B" w:rsidRDefault="007E3E31" w:rsidP="009647C5">
      <w:pPr>
        <w:spacing w:line="360" w:lineRule="auto"/>
      </w:pPr>
      <w:r>
        <w:t xml:space="preserve">To </w:t>
      </w:r>
      <w:r w:rsidR="00A23828">
        <w:t>answer this question</w:t>
      </w:r>
      <w:r>
        <w:t xml:space="preserve">, the Human Freedom Index data set </w:t>
      </w:r>
      <w:r w:rsidR="00A23828">
        <w:t xml:space="preserve">assembled by </w:t>
      </w:r>
      <w:r>
        <w:t xml:space="preserve">the liberal-leaning think tank </w:t>
      </w:r>
      <w:r>
        <w:rPr>
          <w:i/>
          <w:iCs/>
        </w:rPr>
        <w:t>Cato Institute</w:t>
      </w:r>
      <w:r>
        <w:t xml:space="preserve">, </w:t>
      </w:r>
      <w:r w:rsidR="00812A6B">
        <w:t>comprising</w:t>
      </w:r>
      <w:r>
        <w:t xml:space="preserve"> the abovementioned years, is used.</w:t>
      </w:r>
      <w:r w:rsidR="00F7444A">
        <w:t xml:space="preserve"> </w:t>
      </w:r>
      <w:r>
        <w:t xml:space="preserve"> </w:t>
      </w:r>
      <w:r w:rsidR="00BB464E">
        <w:t>It covers different facets of personal and economic freedoms as measured by other data sources, compiles them and</w:t>
      </w:r>
      <w:r w:rsidR="002840B7">
        <w:t xml:space="preserve"> based on these,</w:t>
      </w:r>
      <w:r w:rsidR="00BB464E">
        <w:t xml:space="preserve"> calculates</w:t>
      </w:r>
      <w:r w:rsidR="00621BA5">
        <w:t xml:space="preserve"> freedom</w:t>
      </w:r>
      <w:r w:rsidR="00BB464E">
        <w:t xml:space="preserve"> scores.</w:t>
      </w:r>
      <w:r w:rsidR="00F7444A">
        <w:t xml:space="preserve"> </w:t>
      </w:r>
      <w:r w:rsidR="00F7444A" w:rsidRPr="00F7444A">
        <w:t xml:space="preserve">Importantly, the Institute’s </w:t>
      </w:r>
      <w:r w:rsidR="005E2194">
        <w:t xml:space="preserve">neoliberal </w:t>
      </w:r>
      <w:r w:rsidR="00F7444A" w:rsidRPr="00F7444A">
        <w:t>ideological sway becomes apparent when looking at the coding of certain measures of economic freedom, as they equate a larger size of government with a lower level of freedom</w:t>
      </w:r>
      <w:r w:rsidR="001F33C3">
        <w:t xml:space="preserve"> or the fact that </w:t>
      </w:r>
      <w:r w:rsidR="009B53F5">
        <w:t>the ability</w:t>
      </w:r>
      <w:r w:rsidR="001F33C3">
        <w:t xml:space="preserve"> to “flexibly determine” firing decisions</w:t>
      </w:r>
      <w:r w:rsidR="007133C2">
        <w:t xml:space="preserve"> as an employer</w:t>
      </w:r>
      <w:r w:rsidR="001F33C3">
        <w:t xml:space="preserve"> </w:t>
      </w:r>
      <w:r w:rsidR="00AA4452">
        <w:t>i</w:t>
      </w:r>
      <w:r w:rsidR="001F33C3">
        <w:t>s</w:t>
      </w:r>
      <w:r w:rsidR="00AA4452">
        <w:t xml:space="preserve"> considered</w:t>
      </w:r>
      <w:r w:rsidR="001F33C3">
        <w:t xml:space="preserve"> a pillar of freedom</w:t>
      </w:r>
      <w:r w:rsidR="005E2194">
        <w:t>, among other biased coding decisions</w:t>
      </w:r>
      <w:r w:rsidR="00891668">
        <w:t xml:space="preserve"> (HFI, 2022)</w:t>
      </w:r>
      <w:r w:rsidR="00F7444A">
        <w:t>.</w:t>
      </w:r>
      <w:r w:rsidR="005E2194">
        <w:t xml:space="preserve"> </w:t>
      </w:r>
      <w:r w:rsidR="009C5681">
        <w:t>Using assorted measures</w:t>
      </w:r>
      <w:r w:rsidR="0006079F">
        <w:t xml:space="preserve"> from the data covering</w:t>
      </w:r>
      <w:r w:rsidR="00501F8C">
        <w:t xml:space="preserve"> all measures of</w:t>
      </w:r>
      <w:r w:rsidR="0006079F">
        <w:t xml:space="preserve"> personal freedom</w:t>
      </w:r>
      <w:r w:rsidR="009C5681">
        <w:t xml:space="preserve"> while disregarding</w:t>
      </w:r>
      <w:r w:rsidR="0006079F">
        <w:t xml:space="preserve"> most measures of economic freedom and all</w:t>
      </w:r>
      <w:r w:rsidR="009C5681">
        <w:t xml:space="preserve"> scores, ranks and percentiles calculated by the Cato Institute</w:t>
      </w:r>
      <w:r w:rsidR="00DB765A">
        <w:rPr>
          <w:rStyle w:val="FootnoteReference"/>
        </w:rPr>
        <w:footnoteReference w:id="1"/>
      </w:r>
      <w:r w:rsidR="009C5681">
        <w:t xml:space="preserve">, </w:t>
      </w:r>
      <w:r w:rsidR="00F7444A">
        <w:t>principal</w:t>
      </w:r>
      <w:r w:rsidR="009C5681">
        <w:t xml:space="preserve"> component analysis (PCA) and hierarchical clustering (HC) </w:t>
      </w:r>
      <w:r w:rsidR="00501F8C">
        <w:t xml:space="preserve">are </w:t>
      </w:r>
      <w:r w:rsidR="009C5681">
        <w:t>used to differentiate the freedom</w:t>
      </w:r>
      <w:r w:rsidR="008C325F">
        <w:t>s</w:t>
      </w:r>
      <w:r w:rsidR="009C5681">
        <w:t xml:space="preserve"> of individuals in different countries</w:t>
      </w:r>
      <w:r w:rsidR="00C53FC5">
        <w:t>.</w:t>
      </w:r>
      <w:r w:rsidR="009C5681">
        <w:t xml:space="preserve"> </w:t>
      </w:r>
    </w:p>
    <w:p w14:paraId="01F8C048" w14:textId="77777777" w:rsidR="00054B10" w:rsidRDefault="00054B10" w:rsidP="009647C5">
      <w:pPr>
        <w:spacing w:line="360" w:lineRule="auto"/>
      </w:pPr>
    </w:p>
    <w:p w14:paraId="627813F2" w14:textId="1CE89970" w:rsidR="00054B10" w:rsidRDefault="00054B10" w:rsidP="009647C5">
      <w:pPr>
        <w:spacing w:line="360" w:lineRule="auto"/>
      </w:pPr>
      <w:r>
        <w:t>Methods</w:t>
      </w:r>
      <w:r w:rsidR="00234870">
        <w:t>:</w:t>
      </w:r>
    </w:p>
    <w:p w14:paraId="0C0AA341" w14:textId="1274D260" w:rsidR="00473C5D" w:rsidRDefault="00316581" w:rsidP="009647C5">
      <w:pPr>
        <w:spacing w:line="360" w:lineRule="auto"/>
      </w:pPr>
      <w:r>
        <w:t>In order to prepare the data for analysis, several steps were taken.</w:t>
      </w:r>
      <w:r w:rsidR="00C23918">
        <w:t xml:space="preserve"> First, as mentioned above, “economic freedom” </w:t>
      </w:r>
      <w:r w:rsidR="00AA0F31">
        <w:t>variables</w:t>
      </w:r>
      <w:r w:rsidR="00C23918">
        <w:t xml:space="preserve"> were largely removed, with the exception of black market and “visa strength” measures</w:t>
      </w:r>
      <w:r w:rsidR="00F92CEB">
        <w:t>, which may be argued to also belong to personal freedoms.</w:t>
      </w:r>
      <w:r w:rsidR="00A36CA3">
        <w:t xml:space="preserve"> Additionally, tally and final scores</w:t>
      </w:r>
      <w:r w:rsidR="00E10224">
        <w:t xml:space="preserve"> and the like</w:t>
      </w:r>
      <w:r w:rsidR="00A36CA3">
        <w:t xml:space="preserve"> which serve only to rank the countries based on other variables were removed in order to reduce redundancy.</w:t>
      </w:r>
      <w:r w:rsidR="00047D4C">
        <w:t xml:space="preserve"> As the HFI data set is an agglomeration of different data sources, many missing values are present throughout the data set.</w:t>
      </w:r>
      <w:r w:rsidR="001A3591">
        <w:t xml:space="preserve"> To deal with this, </w:t>
      </w:r>
      <w:r w:rsidR="006D3489">
        <w:t>countries with low response rates across the years of the given time frame were removed entirely.</w:t>
      </w:r>
      <w:r w:rsidR="00004355">
        <w:t xml:space="preserve"> Then, variables with too many missing values were also removed from the analysis</w:t>
      </w:r>
      <w:r w:rsidR="00A105E9">
        <w:rPr>
          <w:rStyle w:val="FootnoteReference"/>
        </w:rPr>
        <w:footnoteReference w:id="2"/>
      </w:r>
      <w:r w:rsidR="00004355">
        <w:t>.</w:t>
      </w:r>
      <w:r w:rsidR="00812A6B">
        <w:t xml:space="preserve"> Due to PCA requiring data without missing values in order to avoid distorted results, the remaining missing values </w:t>
      </w:r>
      <w:r w:rsidR="00812A6B">
        <w:lastRenderedPageBreak/>
        <w:t>were imputed</w:t>
      </w:r>
      <w:r w:rsidR="00650D22">
        <w:t xml:space="preserve"> using the </w:t>
      </w:r>
      <w:r w:rsidR="00650D22" w:rsidRPr="00B85699">
        <w:rPr>
          <w:i/>
          <w:iCs/>
        </w:rPr>
        <w:t>mice</w:t>
      </w:r>
      <w:r w:rsidR="00650D22">
        <w:t xml:space="preserve"> package in R (</w:t>
      </w:r>
      <w:r w:rsidR="00650D22" w:rsidRPr="00650D22">
        <w:t xml:space="preserve">van </w:t>
      </w:r>
      <w:r w:rsidR="00650D22">
        <w:t>B</w:t>
      </w:r>
      <w:r w:rsidR="00650D22" w:rsidRPr="00650D22">
        <w:t xml:space="preserve">uuren &amp; </w:t>
      </w:r>
      <w:r w:rsidR="00650D22">
        <w:t>Gr</w:t>
      </w:r>
      <w:r w:rsidR="00650D22" w:rsidRPr="00650D22">
        <w:t>oothuis-</w:t>
      </w:r>
      <w:r w:rsidR="00650D22">
        <w:t>O</w:t>
      </w:r>
      <w:r w:rsidR="00650D22" w:rsidRPr="00650D22">
        <w:t>udshoorn</w:t>
      </w:r>
      <w:r w:rsidR="00650D22">
        <w:t>,</w:t>
      </w:r>
      <w:r w:rsidR="00650D22" w:rsidRPr="00650D22">
        <w:t xml:space="preserve"> 2011</w:t>
      </w:r>
      <w:r w:rsidR="00650D22">
        <w:t>)</w:t>
      </w:r>
      <w:r w:rsidR="00812A6B">
        <w:t>.</w:t>
      </w:r>
      <w:r w:rsidR="0089358D">
        <w:t xml:space="preserve"> Notably, the conditions for this procedure are not given in this scenario</w:t>
      </w:r>
      <w:r w:rsidR="00A00255">
        <w:t>, as</w:t>
      </w:r>
      <w:r w:rsidR="00A00255" w:rsidRPr="00A00255">
        <w:t xml:space="preserve"> </w:t>
      </w:r>
      <w:r w:rsidR="00A00255">
        <w:t>m</w:t>
      </w:r>
      <w:r w:rsidR="00A00255" w:rsidRPr="00A00255">
        <w:t>ultiple imputation by chained equations</w:t>
      </w:r>
      <w:r w:rsidR="00A00255">
        <w:t xml:space="preserve"> require</w:t>
      </w:r>
      <w:r w:rsidR="00BE696F">
        <w:t>s</w:t>
      </w:r>
      <w:r w:rsidR="00A00255">
        <w:t xml:space="preserve"> the data to be missing at random</w:t>
      </w:r>
      <w:r w:rsidR="00D37BA5">
        <w:t xml:space="preserve"> </w:t>
      </w:r>
      <w:r w:rsidR="00B933A9">
        <w:t>(</w:t>
      </w:r>
      <w:r w:rsidR="00B933A9" w:rsidRPr="00B933A9">
        <w:t>van Buuren</w:t>
      </w:r>
      <w:r w:rsidR="00B933A9">
        <w:t>, 2021)</w:t>
      </w:r>
      <w:r w:rsidR="00A00255">
        <w:t>.</w:t>
      </w:r>
      <w:r w:rsidR="00D37BA5">
        <w:t xml:space="preserve"> This cannot be expected to be the case in these data, as data sources on personal freedoms, especially in the less fre</w:t>
      </w:r>
      <w:r w:rsidR="00BE696F">
        <w:t>e or rich</w:t>
      </w:r>
      <w:r w:rsidR="00D37BA5">
        <w:t xml:space="preserve"> countries may be argued to likely not have been provided due to access to data being prohibited or the respective data not being recorded rather than random failure </w:t>
      </w:r>
      <w:r w:rsidR="00B52D22">
        <w:t>during measurements</w:t>
      </w:r>
      <w:r w:rsidR="00D37BA5">
        <w:t>.</w:t>
      </w:r>
      <w:r w:rsidR="007A3717">
        <w:t xml:space="preserve"> Although this may lead to biased imputation of missing values, this is accepted in order to do PCA</w:t>
      </w:r>
      <w:r w:rsidR="00C44EF2">
        <w:t xml:space="preserve"> and HC</w:t>
      </w:r>
      <w:r w:rsidR="000B4BEE">
        <w:t>.</w:t>
      </w:r>
    </w:p>
    <w:p w14:paraId="3C7FBC10" w14:textId="5F80EE7D" w:rsidR="002C4F13" w:rsidRDefault="00251DEB" w:rsidP="009647C5">
      <w:pPr>
        <w:spacing w:line="360" w:lineRule="auto"/>
      </w:pPr>
      <w:r>
        <w:t xml:space="preserve">Principal component analysis is an exploratory data analysis technique </w:t>
      </w:r>
      <w:r w:rsidR="008C4972">
        <w:t>used in order to reduce the complexity</w:t>
      </w:r>
      <w:r w:rsidR="001B5E27">
        <w:t xml:space="preserve"> (i.e., reduce the number of variables)</w:t>
      </w:r>
      <w:r w:rsidR="008C4972">
        <w:t xml:space="preserve"> and extract features</w:t>
      </w:r>
      <w:r w:rsidR="001B5E27">
        <w:t xml:space="preserve"> (i.e., find the important components in the data)</w:t>
      </w:r>
      <w:r w:rsidR="008C4972">
        <w:t xml:space="preserve"> of a large data</w:t>
      </w:r>
      <w:r w:rsidR="00F07680">
        <w:t xml:space="preserve"> set consisting of continuous and evenly scaled variables</w:t>
      </w:r>
      <w:r w:rsidR="008C4972">
        <w:t>.</w:t>
      </w:r>
      <w:r w:rsidR="007D47E1">
        <w:t xml:space="preserve"> It </w:t>
      </w:r>
      <w:r w:rsidR="008936FD">
        <w:t>performs</w:t>
      </w:r>
      <w:r w:rsidR="007D47E1">
        <w:t xml:space="preserve"> this</w:t>
      </w:r>
      <w:r w:rsidR="008936FD">
        <w:t xml:space="preserve"> linear combination of variables</w:t>
      </w:r>
      <w:r w:rsidR="007D47E1">
        <w:t xml:space="preserve"> by laying out the data points in a n-1 dimensional space with the goal of maximizing their variance, where n is the number of supplied variables.</w:t>
      </w:r>
      <w:r w:rsidR="00F557B2">
        <w:t xml:space="preserve"> This maximization of variance results in the first principal component and is then repeated, capturing less variance with each further principal component.</w:t>
      </w:r>
      <w:r w:rsidR="007870CC">
        <w:t xml:space="preserve"> </w:t>
      </w:r>
      <w:r w:rsidR="001A4019">
        <w:t>PCA outputs several interpretable metrics</w:t>
      </w:r>
      <w:r w:rsidR="003B1C81">
        <w:t xml:space="preserve"> which are interrelated to a great extent</w:t>
      </w:r>
      <w:r w:rsidR="001A4019">
        <w:t xml:space="preserve">. </w:t>
      </w:r>
      <w:r w:rsidR="008936FD">
        <w:t xml:space="preserve"> </w:t>
      </w:r>
      <w:r w:rsidR="00C725A8">
        <w:t>The principal components (PCs) are the new variables, explain a certain amount of variance in the data and serve as axes in the</w:t>
      </w:r>
      <w:r w:rsidR="005635DC">
        <w:t xml:space="preserve"> biplots often used to visualize the results of PCA.</w:t>
      </w:r>
      <w:r w:rsidR="00FA4226">
        <w:t xml:space="preserve"> </w:t>
      </w:r>
      <w:r w:rsidR="00C97755">
        <w:t>Scree plots are employed to determine the number of PCs to keep in further analysis and are based on the (cumulative) eigenvalues of the PCs.</w:t>
      </w:r>
      <w:r w:rsidR="00657748">
        <w:t xml:space="preserve"> Furthermore, each of the initial variables</w:t>
      </w:r>
      <w:r w:rsidR="00C81639">
        <w:t xml:space="preserve"> and individuals</w:t>
      </w:r>
      <w:r w:rsidR="00657748">
        <w:t xml:space="preserve"> has contribution scores and cos</w:t>
      </w:r>
      <w:r w:rsidR="00404F3E">
        <w:rPr>
          <w:vertAlign w:val="superscript"/>
        </w:rPr>
        <w:t>2</w:t>
      </w:r>
      <w:r w:rsidR="00657748">
        <w:t xml:space="preserve"> values.</w:t>
      </w:r>
      <w:r w:rsidR="008A4DE5">
        <w:t xml:space="preserve"> The prior is the share of </w:t>
      </w:r>
      <w:r w:rsidR="00C81639">
        <w:t xml:space="preserve">a </w:t>
      </w:r>
      <w:r w:rsidR="008A4DE5">
        <w:t>variable</w:t>
      </w:r>
      <w:r w:rsidR="00C81639">
        <w:t xml:space="preserve"> or individual</w:t>
      </w:r>
      <w:r w:rsidR="008A4DE5">
        <w:t xml:space="preserve"> in explaining the variation for a given PC.</w:t>
      </w:r>
      <w:r w:rsidR="00C81639">
        <w:t xml:space="preserve"> The latter shows how well the variable or individual represents the given P</w:t>
      </w:r>
      <w:r w:rsidR="00EF28A4">
        <w:t>C.</w:t>
      </w:r>
      <w:r w:rsidR="002F73C3">
        <w:t xml:space="preserve"> Finally, the coordinates of the individuals (countries) on the axes indicate their </w:t>
      </w:r>
      <w:r w:rsidR="005D3244">
        <w:t>values on the PCs which are often used to then conduct further analyses.</w:t>
      </w:r>
      <w:r w:rsidR="004C618E">
        <w:t xml:space="preserve"> PCA</w:t>
      </w:r>
      <w:r w:rsidR="004F1984">
        <w:t xml:space="preserve"> is used in this paper to reduce the complexity of </w:t>
      </w:r>
      <w:r w:rsidR="004C618E">
        <w:t xml:space="preserve">the relatively large data set </w:t>
      </w:r>
      <w:r w:rsidR="004F1984">
        <w:t>in use and</w:t>
      </w:r>
      <w:r w:rsidR="004C618E">
        <w:t xml:space="preserve"> to</w:t>
      </w:r>
      <w:r w:rsidR="004F1984">
        <w:t xml:space="preserve"> extract the main facets of personal freedom of individuals across different countries.</w:t>
      </w:r>
    </w:p>
    <w:p w14:paraId="3A789F49" w14:textId="45CAB72E" w:rsidR="00962A5A" w:rsidRDefault="00D83402" w:rsidP="009647C5">
      <w:pPr>
        <w:spacing w:line="360" w:lineRule="auto"/>
      </w:pPr>
      <w:r>
        <w:lastRenderedPageBreak/>
        <w:t>Based on the results of the PCA, namely the coordinates of the countries in the relevant PCs, hierarchical clustering will be performed. Clustering aims to group data based on shared properties, which will be used in the context of this paper to uncover similarities across levels of freedom worldwide comparing the years 2008 and 2016.</w:t>
      </w:r>
      <w:r w:rsidR="00E45D42">
        <w:t xml:space="preserve"> Similarly to PCA, clustering requires scaled data, which is the case as the PCA output will be used. The decision to use HC is due to it not relying on a predefined number of clusters in the data, unlike algorithms such as K-means or PAM</w:t>
      </w:r>
      <w:r w:rsidR="00F16D60">
        <w:t>. This is advantageous, as no assumptions can be made about the number of clusters regarding individual freedoms.</w:t>
      </w:r>
      <w:r w:rsidR="00891A10">
        <w:t xml:space="preserve"> HC is further divided into agglomerative and divisive approaches, the prior of which will be employed</w:t>
      </w:r>
      <w:r w:rsidR="00C1416E">
        <w:t xml:space="preserve"> due to its </w:t>
      </w:r>
      <w:r w:rsidR="00851D64">
        <w:t xml:space="preserve">comparatively greater </w:t>
      </w:r>
      <w:r w:rsidR="00C1416E">
        <w:t>efficiency.</w:t>
      </w:r>
      <w:r w:rsidR="00891A10">
        <w:t xml:space="preserve"> </w:t>
      </w:r>
      <w:r w:rsidR="00C1416E">
        <w:t>It</w:t>
      </w:r>
      <w:r w:rsidR="00891A10">
        <w:t xml:space="preserve"> works “bottom-up”</w:t>
      </w:r>
      <w:r w:rsidR="00C1416E">
        <w:t xml:space="preserve"> by</w:t>
      </w:r>
      <w:r w:rsidR="00891A10">
        <w:t xml:space="preserve"> considering each data point its own cluster and step-by-step merging clusters, while divisive HC works “top-down” starting the algorithm with the data as a single cluster.</w:t>
      </w:r>
      <w:r w:rsidR="00E0111A">
        <w:t xml:space="preserve"> </w:t>
      </w:r>
      <w:r w:rsidR="001126EF">
        <w:t>Specifically,</w:t>
      </w:r>
      <w:r w:rsidR="00E0111A">
        <w:t xml:space="preserve"> the</w:t>
      </w:r>
      <w:r w:rsidR="001126EF">
        <w:t xml:space="preserve"> Ward’s linkage method</w:t>
      </w:r>
      <w:r w:rsidR="00E0111A">
        <w:t xml:space="preserve"> HC algorithm</w:t>
      </w:r>
      <w:r w:rsidR="001126EF">
        <w:t xml:space="preserve"> will be employed. This agglomerative HC algorithm analyzes the variance of clusters and in </w:t>
      </w:r>
      <w:r w:rsidR="009C3C52">
        <w:t>the present analysis</w:t>
      </w:r>
      <w:r w:rsidR="001126EF">
        <w:t xml:space="preserve"> will use a Euclidean</w:t>
      </w:r>
      <w:r w:rsidR="00E0111A">
        <w:t xml:space="preserve"> </w:t>
      </w:r>
      <w:r w:rsidR="001126EF">
        <w:t>distance matrix as a basis for judging similarity between data points.</w:t>
      </w:r>
      <w:r w:rsidR="00286BC4">
        <w:t xml:space="preserve"> Following this, partitioning methods such as silhouette, gap statistic and WSS are used to test for a fitting number of clusters</w:t>
      </w:r>
      <w:r w:rsidR="00A07677">
        <w:t>.</w:t>
      </w:r>
      <w:r w:rsidR="00B617F3">
        <w:t xml:space="preserve"> Finally, </w:t>
      </w:r>
      <w:r w:rsidR="003203CA">
        <w:t xml:space="preserve">partitioned </w:t>
      </w:r>
      <w:r w:rsidR="00B617F3">
        <w:t>dendrograms and world maps will illustrate the clustering results.</w:t>
      </w:r>
    </w:p>
    <w:p w14:paraId="01B756EC" w14:textId="77777777" w:rsidR="00303783" w:rsidRDefault="00303783" w:rsidP="009647C5">
      <w:pPr>
        <w:spacing w:line="360" w:lineRule="auto"/>
      </w:pPr>
    </w:p>
    <w:p w14:paraId="0EAE98D0" w14:textId="2FA1776A" w:rsidR="00F20954" w:rsidRDefault="001849A0" w:rsidP="009647C5">
      <w:pPr>
        <w:spacing w:line="360" w:lineRule="auto"/>
      </w:pPr>
      <w:r>
        <w:t>Results</w:t>
      </w:r>
      <w:r w:rsidR="000E4343">
        <w:t>:</w:t>
      </w:r>
    </w:p>
    <w:p w14:paraId="4E0BEE39" w14:textId="7776B289" w:rsidR="0066413C" w:rsidRDefault="00F20954" w:rsidP="009647C5">
      <w:pPr>
        <w:spacing w:line="360" w:lineRule="auto"/>
      </w:pPr>
      <w:r>
        <w:t xml:space="preserve">After running the PCA with </w:t>
      </w:r>
      <w:r w:rsidR="00E27228">
        <w:t xml:space="preserve">the regions of the countries as qualitative supplementary variables, the </w:t>
      </w:r>
      <w:r w:rsidR="00E71576">
        <w:t>s</w:t>
      </w:r>
      <w:r w:rsidR="00E27228">
        <w:t>cree plots of the two years were inspected.</w:t>
      </w:r>
      <w:r w:rsidR="00E71576">
        <w:t xml:space="preserve"> Using the elbow criteria, selecting the first two PCs seems reasonable, although there is a difference between the years in regard to the variance explained in PC 3 and 4. </w:t>
      </w:r>
      <w:r w:rsidR="00962714">
        <w:t>As can be seen in Figure 1, whereas</w:t>
      </w:r>
      <w:r w:rsidR="00E71576">
        <w:t xml:space="preserve"> for the data from 2008 there is little difference between PC 3 and 4 in explained variance, PC 3 from 2016 does contain around 5 % more explained variance than PC 4. For ease of comparison, however, this is disregarded and only the first two PCs are included for both years in the further analyses</w:t>
      </w:r>
      <w:r w:rsidR="00694BB0">
        <w:t>, explaining around 30 and 13 percent of variance respectively</w:t>
      </w:r>
      <w:r w:rsidR="00E71576">
        <w:t>.</w:t>
      </w:r>
    </w:p>
    <w:p w14:paraId="682ABF16" w14:textId="4943EDF0" w:rsidR="005E3F0F" w:rsidRDefault="005E3F0F" w:rsidP="009647C5">
      <w:pPr>
        <w:spacing w:line="360" w:lineRule="auto"/>
      </w:pPr>
      <w:r>
        <w:t>Figure 1</w:t>
      </w:r>
    </w:p>
    <w:p w14:paraId="5CAD9334" w14:textId="427DDE07" w:rsidR="00F20954" w:rsidRDefault="00A37269" w:rsidP="009647C5">
      <w:pPr>
        <w:spacing w:line="360" w:lineRule="auto"/>
      </w:pPr>
      <w:r>
        <w:rPr>
          <w:noProof/>
        </w:rPr>
        <w:lastRenderedPageBreak/>
        <w:drawing>
          <wp:inline distT="0" distB="0" distL="0" distR="0" wp14:anchorId="71BB924C" wp14:editId="635D8104">
            <wp:extent cx="5943600" cy="2971800"/>
            <wp:effectExtent l="0" t="0" r="0" b="0"/>
            <wp:docPr id="2036767873" name="Picture 3"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767873" name="Picture 3"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2E107E60" w14:textId="77777777" w:rsidR="00694BB0" w:rsidRDefault="00694BB0" w:rsidP="009647C5">
      <w:pPr>
        <w:spacing w:line="360" w:lineRule="auto"/>
      </w:pPr>
    </w:p>
    <w:p w14:paraId="5FF665BC" w14:textId="2396081D" w:rsidR="00AC7CC6" w:rsidRDefault="00D84442" w:rsidP="009647C5">
      <w:pPr>
        <w:spacing w:line="360" w:lineRule="auto"/>
      </w:pPr>
      <w:r>
        <w:t>Figure 2 shows</w:t>
      </w:r>
      <w:r w:rsidR="00157FA7">
        <w:t xml:space="preserve"> a snippet</w:t>
      </w:r>
      <w:r w:rsidR="002A35C8">
        <w:t xml:space="preserve"> </w:t>
      </w:r>
      <w:r w:rsidR="000E5E1F">
        <w:t>(</w:t>
      </w:r>
      <w:r w:rsidR="002A35C8">
        <w:t>for better legibility</w:t>
      </w:r>
      <w:r w:rsidR="000E5E1F">
        <w:t>)</w:t>
      </w:r>
      <w:r w:rsidR="00157FA7">
        <w:t xml:space="preserve"> of</w:t>
      </w:r>
      <w:r>
        <w:t xml:space="preserve"> the variable biplot of the year 20</w:t>
      </w:r>
      <w:r w:rsidR="00F93999">
        <w:t>16</w:t>
      </w:r>
      <w:r w:rsidR="00034C68">
        <w:rPr>
          <w:rStyle w:val="FootnoteReference"/>
        </w:rPr>
        <w:footnoteReference w:id="3"/>
      </w:r>
      <w:r>
        <w:t>.</w:t>
      </w:r>
      <w:r w:rsidR="00157FA7">
        <w:t xml:space="preserve"> </w:t>
      </w:r>
      <w:r w:rsidR="00127071">
        <w:t xml:space="preserve">Upon ocular inspection, variables such as procedural justice, political pressure and control of the media, as well as laws and regulations influencing media delineate this component. Indeed, </w:t>
      </w:r>
      <w:r w:rsidR="00797892">
        <w:t xml:space="preserve">these 3 variables make up both the highest contribution and </w:t>
      </w:r>
      <w:r w:rsidR="00797892" w:rsidRPr="00797892">
        <w:t>cos</w:t>
      </w:r>
      <w:r w:rsidR="00797892">
        <w:rPr>
          <w:vertAlign w:val="superscript"/>
        </w:rPr>
        <w:t>2</w:t>
      </w:r>
      <w:r w:rsidR="00797892" w:rsidRPr="00797892">
        <w:t xml:space="preserve"> values</w:t>
      </w:r>
      <w:r w:rsidR="00797892">
        <w:t xml:space="preserve"> when looking at the underlying results</w:t>
      </w:r>
      <w:r w:rsidR="00797892">
        <w:rPr>
          <w:rStyle w:val="FootnoteReference"/>
        </w:rPr>
        <w:footnoteReference w:id="4"/>
      </w:r>
      <w:r w:rsidR="00797892">
        <w:t>.</w:t>
      </w:r>
      <w:r w:rsidR="00B26FDC">
        <w:t xml:space="preserve"> </w:t>
      </w:r>
      <w:r w:rsidR="00462F6D">
        <w:t>Meanwhile, the second component is made up of mostly legal and some security and safety variables such as the business cost of crime, the reliability of police, impartiality of courts and risk of homicide</w:t>
      </w:r>
      <w:r w:rsidR="00AC7CC6">
        <w:t>, with these variables scoring the highest contribution and cos</w:t>
      </w:r>
      <w:r w:rsidR="00AC7CC6" w:rsidRPr="00AC7CC6">
        <w:rPr>
          <w:vertAlign w:val="superscript"/>
        </w:rPr>
        <w:t>2</w:t>
      </w:r>
      <w:r w:rsidR="00AC7CC6">
        <w:t xml:space="preserve"> </w:t>
      </w:r>
      <w:r w:rsidR="009A1CAA">
        <w:t>values</w:t>
      </w:r>
      <w:r w:rsidR="00691DA0">
        <w:t>, indicating that these variables both had a greater impact on the component and represent it better qualitatively speaking</w:t>
      </w:r>
      <w:r w:rsidR="009A1CAA">
        <w:t>.</w:t>
      </w:r>
      <w:r w:rsidR="00763248">
        <w:t xml:space="preserve"> </w:t>
      </w:r>
      <w:r w:rsidR="00537961">
        <w:t>Interestingly, low negative correlations with the second component can be found with the variables measuring the restrictions against religions and their founding, as well as</w:t>
      </w:r>
      <w:r w:rsidR="00454EF7">
        <w:t xml:space="preserve"> state control over internet access</w:t>
      </w:r>
      <w:r w:rsidR="00537961">
        <w:t xml:space="preserve">. </w:t>
      </w:r>
      <w:r w:rsidR="004B0C73">
        <w:t>Furthermore, there seem to be two distinct groupings of variables that are roughly orthogonal to one another, indicating uncorrelatedness between the groups and strong correlations within them.</w:t>
      </w:r>
      <w:r w:rsidR="00163CCC">
        <w:t xml:space="preserve"> These are </w:t>
      </w:r>
      <w:r w:rsidR="001F3B73">
        <w:t xml:space="preserve">a cluster mostly consisting of variables on freedom as defined by a functional legal system, while the other one is broader and contains variables on </w:t>
      </w:r>
      <w:r w:rsidR="001F3B73">
        <w:lastRenderedPageBreak/>
        <w:t>freedom of identity, gender, associations, expressions and movement.</w:t>
      </w:r>
      <w:r w:rsidR="00856E76">
        <w:t xml:space="preserve"> In interpreting the two components one may assign the first component the</w:t>
      </w:r>
      <w:r w:rsidR="005315C6">
        <w:t xml:space="preserve"> rather broad</w:t>
      </w:r>
      <w:r w:rsidR="00856E76">
        <w:t xml:space="preserve"> title “Civil liberties”, as the variables with large contributions to it </w:t>
      </w:r>
      <w:r w:rsidR="005315C6">
        <w:t xml:space="preserve">refer to civil justice and primarily negative freedoms. </w:t>
      </w:r>
      <w:r w:rsidR="00C2187C">
        <w:t>The second component more distinctly seems to cover “Criminal justice and individual safety”</w:t>
      </w:r>
      <w:r w:rsidR="00CC26EB">
        <w:t>, with negative correlations in religious freedoms and access to the internet</w:t>
      </w:r>
      <w:r w:rsidR="00C2187C">
        <w:t xml:space="preserve">. </w:t>
      </w:r>
      <w:r w:rsidR="00856E76">
        <w:t>The components are composed of similar variables for 2008,</w:t>
      </w:r>
      <w:r w:rsidR="00871F5B">
        <w:t xml:space="preserve"> especially the second component is nearly identical,</w:t>
      </w:r>
      <w:r w:rsidR="00856E76">
        <w:t xml:space="preserve"> indicating that the factors extracted from the HFI data set </w:t>
      </w:r>
      <w:r w:rsidR="00931970">
        <w:t xml:space="preserve">have stayed </w:t>
      </w:r>
      <w:r w:rsidR="00856E76">
        <w:t>relatively stable</w:t>
      </w:r>
      <w:r w:rsidR="00931970">
        <w:t xml:space="preserve"> across the </w:t>
      </w:r>
      <w:r w:rsidR="005315C6">
        <w:t>8-year</w:t>
      </w:r>
      <w:r w:rsidR="00931970">
        <w:t xml:space="preserve"> period.</w:t>
      </w:r>
    </w:p>
    <w:p w14:paraId="43C20603" w14:textId="29B355FC" w:rsidR="00D93A4B" w:rsidRDefault="00D93A4B" w:rsidP="009647C5">
      <w:pPr>
        <w:spacing w:line="360" w:lineRule="auto"/>
      </w:pPr>
      <w:r>
        <w:t>Figure 2</w:t>
      </w:r>
    </w:p>
    <w:p w14:paraId="550B64E6" w14:textId="6E282D46" w:rsidR="00694BB0" w:rsidRDefault="00A6290F" w:rsidP="009647C5">
      <w:pPr>
        <w:spacing w:line="360" w:lineRule="auto"/>
      </w:pPr>
      <w:r>
        <w:rPr>
          <w:noProof/>
        </w:rPr>
        <w:drawing>
          <wp:inline distT="0" distB="0" distL="0" distR="0" wp14:anchorId="0426DA8D" wp14:editId="29DF55A3">
            <wp:extent cx="5650302" cy="5577863"/>
            <wp:effectExtent l="0" t="0" r="7620" b="3810"/>
            <wp:docPr id="2025511354" name="Picture 4"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511354" name="Picture 4" descr="A diagram of a diagram&#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3423" cy="5600688"/>
                    </a:xfrm>
                    <a:prstGeom prst="rect">
                      <a:avLst/>
                    </a:prstGeom>
                    <a:noFill/>
                    <a:ln>
                      <a:noFill/>
                    </a:ln>
                  </pic:spPr>
                </pic:pic>
              </a:graphicData>
            </a:graphic>
          </wp:inline>
        </w:drawing>
      </w:r>
    </w:p>
    <w:p w14:paraId="3E5C1B2C" w14:textId="77777777" w:rsidR="00D712CA" w:rsidRDefault="00914521" w:rsidP="009647C5">
      <w:pPr>
        <w:spacing w:line="360" w:lineRule="auto"/>
      </w:pPr>
      <w:r>
        <w:lastRenderedPageBreak/>
        <w:t>Investigating how the countries map onto these two variables is done by</w:t>
      </w:r>
      <w:r w:rsidR="00B16662">
        <w:t xml:space="preserve"> observing their positions in the new two-dimensional coordinate space</w:t>
      </w:r>
      <w:r w:rsidR="005F6F21">
        <w:t xml:space="preserve"> as shown in Figure 3 for the example of the 2016 data.</w:t>
      </w:r>
      <w:r w:rsidR="0019017E">
        <w:t xml:space="preserve"> Additionally, shared colors and ellipses comprising countries of the same regions are used for generalizability.</w:t>
      </w:r>
      <w:r w:rsidR="00011630">
        <w:t xml:space="preserve"> The results generally reaffirm the interpretations of the components above</w:t>
      </w:r>
      <w:r w:rsidR="008B6291">
        <w:t xml:space="preserve">. </w:t>
      </w:r>
    </w:p>
    <w:p w14:paraId="6BFB5616" w14:textId="548CC28E" w:rsidR="00D712CA" w:rsidRDefault="00D712CA" w:rsidP="009647C5">
      <w:pPr>
        <w:spacing w:line="360" w:lineRule="auto"/>
      </w:pPr>
      <w:r>
        <w:t>Figure 3</w:t>
      </w:r>
    </w:p>
    <w:p w14:paraId="11F1043D" w14:textId="77777777" w:rsidR="00D712CA" w:rsidRDefault="00D712CA" w:rsidP="009647C5">
      <w:pPr>
        <w:spacing w:line="360" w:lineRule="auto"/>
      </w:pPr>
      <w:r>
        <w:rPr>
          <w:noProof/>
        </w:rPr>
        <w:drawing>
          <wp:inline distT="0" distB="0" distL="0" distR="0" wp14:anchorId="0436D1EB" wp14:editId="414E102F">
            <wp:extent cx="5943600" cy="4826662"/>
            <wp:effectExtent l="0" t="0" r="0" b="0"/>
            <wp:docPr id="1321669546" name="Picture 1" descr="A graph with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69546" name="Picture 1" descr="A graph with colorful text&#10;&#10;Description automatically generated with medium confidence"/>
                    <pic:cNvPicPr/>
                  </pic:nvPicPr>
                  <pic:blipFill>
                    <a:blip r:embed="rId10"/>
                    <a:stretch>
                      <a:fillRect/>
                    </a:stretch>
                  </pic:blipFill>
                  <pic:spPr>
                    <a:xfrm>
                      <a:off x="0" y="0"/>
                      <a:ext cx="5943600" cy="4826662"/>
                    </a:xfrm>
                    <a:prstGeom prst="rect">
                      <a:avLst/>
                    </a:prstGeom>
                  </pic:spPr>
                </pic:pic>
              </a:graphicData>
            </a:graphic>
          </wp:inline>
        </w:drawing>
      </w:r>
    </w:p>
    <w:p w14:paraId="2D8152F9" w14:textId="77777777" w:rsidR="001D4527" w:rsidRDefault="001D4527" w:rsidP="009647C5">
      <w:pPr>
        <w:spacing w:line="360" w:lineRule="auto"/>
      </w:pPr>
    </w:p>
    <w:p w14:paraId="22C297F2" w14:textId="3E06C661" w:rsidR="001D5427" w:rsidRDefault="008B6291" w:rsidP="009647C5">
      <w:pPr>
        <w:spacing w:line="360" w:lineRule="auto"/>
      </w:pPr>
      <w:r>
        <w:t>Component 1, “civil liberties” is highly correlated with the democracies of Western Europe, North America and East Asia.</w:t>
      </w:r>
      <w:r w:rsidR="00FA27A1">
        <w:t xml:space="preserve"> Conversely, </w:t>
      </w:r>
      <w:r w:rsidR="00FD3ADA">
        <w:t>de facto dictatorships</w:t>
      </w:r>
      <w:r w:rsidR="00871339">
        <w:t xml:space="preserve"> and authoritarian regimes</w:t>
      </w:r>
      <w:r w:rsidR="00FD3ADA">
        <w:t xml:space="preserve"> such as Burundi and </w:t>
      </w:r>
      <w:r w:rsidR="00871339">
        <w:t>Ethiopia map far in the negative along this axis.</w:t>
      </w:r>
      <w:r w:rsidR="00543260">
        <w:t xml:space="preserve"> The second axis, interpreted as </w:t>
      </w:r>
      <w:r w:rsidR="00543260" w:rsidRPr="00543260">
        <w:t>“Criminal justice and individual safety”</w:t>
      </w:r>
      <w:r w:rsidR="00543260">
        <w:t xml:space="preserve">, portrays </w:t>
      </w:r>
      <w:r w:rsidR="00543260">
        <w:lastRenderedPageBreak/>
        <w:t>the two extremes: countries in which numerous offences lead to capital punishment</w:t>
      </w:r>
      <w:r w:rsidR="000E6938">
        <w:t xml:space="preserve"> and</w:t>
      </w:r>
      <w:r w:rsidR="00116AD3">
        <w:t xml:space="preserve"> the</w:t>
      </w:r>
      <w:r w:rsidR="000E6938">
        <w:t xml:space="preserve"> </w:t>
      </w:r>
      <w:r w:rsidR="00467160">
        <w:t>crime rate</w:t>
      </w:r>
      <w:r w:rsidR="007578A5">
        <w:t xml:space="preserve"> is</w:t>
      </w:r>
      <w:r w:rsidR="00630FAF">
        <w:t xml:space="preserve"> very</w:t>
      </w:r>
      <w:r w:rsidR="007578A5">
        <w:t xml:space="preserve"> low</w:t>
      </w:r>
      <w:r w:rsidR="00543260">
        <w:t>, such as Singapore and Oman in the positive coordinates and a grouping of especially South American countries renown for their lack of</w:t>
      </w:r>
      <w:r w:rsidR="00642B9E">
        <w:t xml:space="preserve"> personal</w:t>
      </w:r>
      <w:r w:rsidR="00543260">
        <w:t xml:space="preserve"> safety and </w:t>
      </w:r>
      <w:r w:rsidR="00785858">
        <w:t>broken (criminal) justice systems</w:t>
      </w:r>
      <w:r w:rsidR="007D62D3">
        <w:t xml:space="preserve"> such as El Salvador and Honduras</w:t>
      </w:r>
      <w:r w:rsidR="002A17E8">
        <w:t xml:space="preserve"> in the negative</w:t>
      </w:r>
      <w:r w:rsidR="0019017E">
        <w:t>.</w:t>
      </w:r>
      <w:r w:rsidR="00BC1F0F">
        <w:t xml:space="preserve"> The regional clusters suggested by the PCA procedure are then potentially also observed by means of HC.</w:t>
      </w:r>
    </w:p>
    <w:p w14:paraId="61D269F5" w14:textId="52C38ED3" w:rsidR="001D5427" w:rsidRDefault="00D140D5" w:rsidP="009647C5">
      <w:pPr>
        <w:spacing w:line="360" w:lineRule="auto"/>
      </w:pPr>
      <w:r>
        <w:t>As outlined in the Methods section, the coordinates of the countries on the two respective principal components are used to cluster them on a world map based on the agglomerative Ward’s linking algorithm which minimizes the intra-cluster variance when continuously merging clusters.</w:t>
      </w:r>
      <w:r w:rsidR="00BE718B">
        <w:t xml:space="preserve"> One of the challenges with hierarchical clustering is that although the number of clusters is not predefined, it needs to be decided upon after running the algorithm regardless.</w:t>
      </w:r>
      <w:r w:rsidR="00FD7365">
        <w:t xml:space="preserve"> Here, this is solved by a function in R called </w:t>
      </w:r>
      <w:r w:rsidR="00FD7365">
        <w:rPr>
          <w:i/>
          <w:iCs/>
        </w:rPr>
        <w:t xml:space="preserve">NbClust </w:t>
      </w:r>
      <w:r w:rsidR="00FD7365" w:rsidRPr="00F1446E">
        <w:t>which</w:t>
      </w:r>
      <w:r w:rsidR="00FD7365">
        <w:t xml:space="preserve"> applies 30 different </w:t>
      </w:r>
      <w:r w:rsidR="00FD7365" w:rsidRPr="00FD7365">
        <w:t>indices for determining the number of clusters and proposes</w:t>
      </w:r>
      <w:r w:rsidR="00E85635">
        <w:t xml:space="preserve"> </w:t>
      </w:r>
      <w:r w:rsidR="00FD7365" w:rsidRPr="00FD7365">
        <w:t xml:space="preserve">the best clustering scheme based on </w:t>
      </w:r>
      <w:r w:rsidR="00E85635">
        <w:t>which number of clusters was suggested most often.</w:t>
      </w:r>
      <w:r w:rsidR="00745BAA">
        <w:t xml:space="preserve"> For both timepoints, this resulted in 3 clusters, though more clearly so in the data from 2008.</w:t>
      </w:r>
      <w:r w:rsidR="00561D4F">
        <w:t xml:space="preserve"> </w:t>
      </w:r>
      <w:r w:rsidR="00291C18">
        <w:t>Figures</w:t>
      </w:r>
      <w:r w:rsidR="00561D4F">
        <w:t xml:space="preserve"> 4 and 5 show the countries colored by their clusters on a world map.</w:t>
      </w:r>
    </w:p>
    <w:p w14:paraId="63292178" w14:textId="777E8796" w:rsidR="00712172" w:rsidRDefault="00712172" w:rsidP="009647C5">
      <w:pPr>
        <w:spacing w:line="360" w:lineRule="auto"/>
      </w:pPr>
    </w:p>
    <w:p w14:paraId="608EF3EB" w14:textId="0109D5E6" w:rsidR="00291C18" w:rsidRDefault="00291C18" w:rsidP="009647C5">
      <w:pPr>
        <w:spacing w:line="360" w:lineRule="auto"/>
      </w:pPr>
      <w:r>
        <w:t>Figure 4</w:t>
      </w:r>
    </w:p>
    <w:p w14:paraId="7866ADC4" w14:textId="7D3C4A5D" w:rsidR="00291C18" w:rsidRDefault="0004525F" w:rsidP="009647C5">
      <w:pPr>
        <w:spacing w:line="360" w:lineRule="auto"/>
      </w:pPr>
      <w:r>
        <w:rPr>
          <w:noProof/>
        </w:rPr>
        <w:drawing>
          <wp:inline distT="0" distB="0" distL="0" distR="0" wp14:anchorId="0CFDC7E0" wp14:editId="25930024">
            <wp:extent cx="5943600" cy="3028950"/>
            <wp:effectExtent l="0" t="0" r="0" b="0"/>
            <wp:docPr id="1383151448" name="Picture 7"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51448" name="Picture 7" descr="A map of the world&#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p w14:paraId="640C1629" w14:textId="7057A1DA" w:rsidR="00712172" w:rsidRDefault="00291C18" w:rsidP="009647C5">
      <w:pPr>
        <w:spacing w:line="360" w:lineRule="auto"/>
      </w:pPr>
      <w:r>
        <w:lastRenderedPageBreak/>
        <w:t>Figure 5</w:t>
      </w:r>
    </w:p>
    <w:p w14:paraId="3A0CF848" w14:textId="7648DA9C" w:rsidR="0004525F" w:rsidRDefault="0034110B" w:rsidP="009647C5">
      <w:pPr>
        <w:spacing w:line="360" w:lineRule="auto"/>
      </w:pPr>
      <w:r>
        <w:rPr>
          <w:noProof/>
        </w:rPr>
        <w:drawing>
          <wp:inline distT="0" distB="0" distL="0" distR="0" wp14:anchorId="63F784DC" wp14:editId="0AF8A5E2">
            <wp:extent cx="5943600" cy="3028950"/>
            <wp:effectExtent l="0" t="0" r="0" b="0"/>
            <wp:docPr id="1762137119" name="Picture 1"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137119" name="Picture 1" descr="A map of the world&#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p w14:paraId="48A2B8A9" w14:textId="77777777" w:rsidR="0004525F" w:rsidRDefault="0004525F" w:rsidP="009647C5">
      <w:pPr>
        <w:spacing w:line="360" w:lineRule="auto"/>
      </w:pPr>
    </w:p>
    <w:p w14:paraId="79CFDA7F" w14:textId="3BF5E983" w:rsidR="007A4984" w:rsidRDefault="007A4984" w:rsidP="009647C5">
      <w:pPr>
        <w:spacing w:line="360" w:lineRule="auto"/>
      </w:pPr>
      <w:r>
        <w:t>HC:</w:t>
      </w:r>
    </w:p>
    <w:p w14:paraId="643BB996" w14:textId="2CA34D5E" w:rsidR="007A4984" w:rsidRDefault="00B3686A" w:rsidP="009647C5">
      <w:pPr>
        <w:spacing w:line="360" w:lineRule="auto"/>
      </w:pPr>
      <w:r>
        <w:t>Refer to methods section</w:t>
      </w:r>
    </w:p>
    <w:p w14:paraId="7ED72DFF" w14:textId="279CAFB7" w:rsidR="00B3686A" w:rsidRDefault="00B3686A" w:rsidP="009647C5">
      <w:pPr>
        <w:spacing w:line="360" w:lineRule="auto"/>
      </w:pPr>
      <w:r>
        <w:tab/>
        <w:t>Using data from PCA (coordinates on the two axes)</w:t>
      </w:r>
    </w:p>
    <w:p w14:paraId="46AB2643" w14:textId="0C403FC5" w:rsidR="00B3686A" w:rsidRDefault="00B3686A" w:rsidP="009647C5">
      <w:pPr>
        <w:spacing w:line="360" w:lineRule="auto"/>
      </w:pPr>
      <w:r>
        <w:t xml:space="preserve">Differing numbers of clusters suggested with the above mentioned methods: therefore used NbClust which uses 30 </w:t>
      </w:r>
      <w:r w:rsidRPr="00B3686A">
        <w:t>indices for determining the number of clusters and proposes to user the best clustering scheme</w:t>
      </w:r>
      <w:r>
        <w:t xml:space="preserve"> based on a majority rule</w:t>
      </w:r>
    </w:p>
    <w:p w14:paraId="4D92EF5D" w14:textId="6069E14D" w:rsidR="00B3686A" w:rsidRDefault="00B3686A" w:rsidP="00B3686A">
      <w:pPr>
        <w:pStyle w:val="ListParagraph"/>
        <w:numPr>
          <w:ilvl w:val="0"/>
          <w:numId w:val="3"/>
        </w:numPr>
        <w:spacing w:line="360" w:lineRule="auto"/>
      </w:pPr>
      <w:r>
        <w:t>3 in both 2008 and 2016</w:t>
      </w:r>
    </w:p>
    <w:p w14:paraId="4FF871B9" w14:textId="3D3637C1" w:rsidR="00B3686A" w:rsidRDefault="00B3686A" w:rsidP="00B3686A">
      <w:pPr>
        <w:spacing w:line="360" w:lineRule="auto"/>
      </w:pPr>
      <w:r>
        <w:t>Show on map</w:t>
      </w:r>
    </w:p>
    <w:p w14:paraId="5D1D0F95" w14:textId="78772694" w:rsidR="0021646B" w:rsidRDefault="0021646B" w:rsidP="00B3686A">
      <w:pPr>
        <w:spacing w:line="360" w:lineRule="auto"/>
      </w:pPr>
      <w:r>
        <w:t>Interpret</w:t>
      </w:r>
    </w:p>
    <w:p w14:paraId="2184C7FF" w14:textId="512A4DCC" w:rsidR="00C81DF3" w:rsidRDefault="00C81DF3" w:rsidP="00B3686A">
      <w:pPr>
        <w:spacing w:line="360" w:lineRule="auto"/>
      </w:pPr>
      <w:r>
        <w:t>Further steps might be to calculate descriptive statistics for each cluster</w:t>
      </w:r>
    </w:p>
    <w:p w14:paraId="0BE13F32" w14:textId="77777777" w:rsidR="00B3686A" w:rsidRDefault="00B3686A" w:rsidP="009647C5">
      <w:pPr>
        <w:spacing w:line="360" w:lineRule="auto"/>
      </w:pPr>
    </w:p>
    <w:p w14:paraId="72CF33B3" w14:textId="00036D6B" w:rsidR="000878BB" w:rsidRDefault="000878BB" w:rsidP="009647C5">
      <w:pPr>
        <w:spacing w:line="360" w:lineRule="auto"/>
      </w:pPr>
    </w:p>
    <w:p w14:paraId="2D624536" w14:textId="08D0CE7A" w:rsidR="00473C5D" w:rsidRDefault="00473C5D" w:rsidP="009647C5">
      <w:pPr>
        <w:spacing w:line="360" w:lineRule="auto"/>
      </w:pPr>
      <w:bookmarkStart w:id="0" w:name="_Hlk168675709"/>
      <w:bookmarkEnd w:id="0"/>
    </w:p>
    <w:p w14:paraId="345DB95C" w14:textId="77777777" w:rsidR="00650D7F" w:rsidRDefault="00650D7F" w:rsidP="009647C5">
      <w:pPr>
        <w:spacing w:line="360" w:lineRule="auto"/>
      </w:pPr>
    </w:p>
    <w:p w14:paraId="249E08B5" w14:textId="77777777" w:rsidR="00650D7F" w:rsidRDefault="00650D7F" w:rsidP="009647C5">
      <w:pPr>
        <w:spacing w:line="360" w:lineRule="auto"/>
      </w:pPr>
    </w:p>
    <w:p w14:paraId="477F4539" w14:textId="77777777" w:rsidR="00650D7F" w:rsidRDefault="00650D7F" w:rsidP="009647C5">
      <w:pPr>
        <w:spacing w:line="360" w:lineRule="auto"/>
      </w:pPr>
    </w:p>
    <w:p w14:paraId="212DE995" w14:textId="12684622" w:rsidR="00473C5D" w:rsidRDefault="00473C5D" w:rsidP="009647C5">
      <w:pPr>
        <w:pStyle w:val="ListParagraph"/>
        <w:numPr>
          <w:ilvl w:val="0"/>
          <w:numId w:val="1"/>
        </w:numPr>
        <w:spacing w:line="360" w:lineRule="auto"/>
      </w:pPr>
      <w:r>
        <w:t>Discussion</w:t>
      </w:r>
      <w:r w:rsidR="0032585C">
        <w:t xml:space="preserve"> &amp; Limitation</w:t>
      </w:r>
      <w:r w:rsidR="004F5B69">
        <w:t>s</w:t>
      </w:r>
      <w:r>
        <w:t>:</w:t>
      </w:r>
    </w:p>
    <w:p w14:paraId="4B908693" w14:textId="6F7474E9" w:rsidR="00473C5D" w:rsidRDefault="00473C5D" w:rsidP="009647C5">
      <w:pPr>
        <w:pStyle w:val="ListParagraph"/>
        <w:numPr>
          <w:ilvl w:val="1"/>
          <w:numId w:val="1"/>
        </w:numPr>
        <w:spacing w:line="360" w:lineRule="auto"/>
      </w:pPr>
      <w:r>
        <w:t>Answer RQ if possible</w:t>
      </w:r>
    </w:p>
    <w:p w14:paraId="1ECF1EE4" w14:textId="38E76DE0" w:rsidR="00473C5D" w:rsidRDefault="00473C5D" w:rsidP="009647C5">
      <w:pPr>
        <w:pStyle w:val="ListParagraph"/>
        <w:numPr>
          <w:ilvl w:val="1"/>
          <w:numId w:val="1"/>
        </w:numPr>
        <w:spacing w:line="360" w:lineRule="auto"/>
      </w:pPr>
      <w:r>
        <w:t>Tie it all back together</w:t>
      </w:r>
    </w:p>
    <w:p w14:paraId="0C1A010A" w14:textId="5A0A70BD" w:rsidR="005315C6" w:rsidRDefault="005315C6" w:rsidP="009647C5">
      <w:pPr>
        <w:pStyle w:val="ListParagraph"/>
        <w:numPr>
          <w:ilvl w:val="0"/>
          <w:numId w:val="1"/>
        </w:numPr>
        <w:spacing w:line="360" w:lineRule="auto"/>
      </w:pPr>
      <w:r w:rsidRPr="005315C6">
        <w:t>This, however, is influenced by the composition of the data set being biased toward n</w:t>
      </w:r>
      <w:r w:rsidR="005B1D39">
        <w:t>egative freedoms = “good”</w:t>
      </w:r>
    </w:p>
    <w:p w14:paraId="6EE48236" w14:textId="43ED3E5D" w:rsidR="00D715FE" w:rsidRPr="00AA5DD6" w:rsidRDefault="006F1B24" w:rsidP="009647C5">
      <w:pPr>
        <w:pStyle w:val="ListParagraph"/>
        <w:numPr>
          <w:ilvl w:val="0"/>
          <w:numId w:val="1"/>
        </w:numPr>
        <w:spacing w:line="360" w:lineRule="auto"/>
      </w:pPr>
      <w:r>
        <w:t>Garbage</w:t>
      </w:r>
      <w:r w:rsidR="00D715FE">
        <w:t xml:space="preserve"> in </w:t>
      </w:r>
      <w:r w:rsidRPr="006F1B24">
        <w:t>-</w:t>
      </w:r>
      <w:r w:rsidR="007712D1">
        <w:t xml:space="preserve"> </w:t>
      </w:r>
      <w:r w:rsidRPr="006F1B24">
        <w:t xml:space="preserve">Garbage </w:t>
      </w:r>
      <w:r w:rsidR="00D715FE">
        <w:t>out</w:t>
      </w:r>
    </w:p>
    <w:sectPr w:rsidR="00D715FE" w:rsidRPr="00AA5D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272049" w14:textId="77777777" w:rsidR="003529D2" w:rsidRDefault="003529D2" w:rsidP="00DB765A">
      <w:pPr>
        <w:spacing w:after="0" w:line="240" w:lineRule="auto"/>
      </w:pPr>
      <w:r>
        <w:separator/>
      </w:r>
    </w:p>
  </w:endnote>
  <w:endnote w:type="continuationSeparator" w:id="0">
    <w:p w14:paraId="4019B663" w14:textId="77777777" w:rsidR="003529D2" w:rsidRDefault="003529D2" w:rsidP="00DB7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E9E7CD" w14:textId="77777777" w:rsidR="003529D2" w:rsidRDefault="003529D2" w:rsidP="00DB765A">
      <w:pPr>
        <w:spacing w:after="0" w:line="240" w:lineRule="auto"/>
      </w:pPr>
      <w:r>
        <w:separator/>
      </w:r>
    </w:p>
  </w:footnote>
  <w:footnote w:type="continuationSeparator" w:id="0">
    <w:p w14:paraId="6197539C" w14:textId="77777777" w:rsidR="003529D2" w:rsidRDefault="003529D2" w:rsidP="00DB765A">
      <w:pPr>
        <w:spacing w:after="0" w:line="240" w:lineRule="auto"/>
      </w:pPr>
      <w:r>
        <w:continuationSeparator/>
      </w:r>
    </w:p>
  </w:footnote>
  <w:footnote w:id="1">
    <w:p w14:paraId="5447F595" w14:textId="6CF17191" w:rsidR="00DB765A" w:rsidRPr="00DB765A" w:rsidRDefault="00DB765A">
      <w:pPr>
        <w:pStyle w:val="FootnoteText"/>
      </w:pPr>
      <w:r>
        <w:rPr>
          <w:rStyle w:val="FootnoteReference"/>
        </w:rPr>
        <w:footnoteRef/>
      </w:r>
      <w:r>
        <w:t xml:space="preserve"> </w:t>
      </w:r>
      <w:r w:rsidRPr="00DB765A">
        <w:t>Please refer to the appendix f</w:t>
      </w:r>
      <w:r>
        <w:t>or an overview of the variables used and discarded.</w:t>
      </w:r>
    </w:p>
  </w:footnote>
  <w:footnote w:id="2">
    <w:p w14:paraId="62A0CC54" w14:textId="332402AE" w:rsidR="00A105E9" w:rsidRPr="00A105E9" w:rsidRDefault="00A105E9">
      <w:pPr>
        <w:pStyle w:val="FootnoteText"/>
      </w:pPr>
      <w:r>
        <w:rPr>
          <w:rStyle w:val="FootnoteReference"/>
        </w:rPr>
        <w:footnoteRef/>
      </w:r>
      <w:r>
        <w:t xml:space="preserve"> </w:t>
      </w:r>
      <w:r w:rsidRPr="00A105E9">
        <w:t>For exclusion criteria for countries a</w:t>
      </w:r>
      <w:r>
        <w:t>nd variables, please refer to the appendix.</w:t>
      </w:r>
    </w:p>
  </w:footnote>
  <w:footnote w:id="3">
    <w:p w14:paraId="54B8546F" w14:textId="71CFFA87" w:rsidR="00034C68" w:rsidRPr="00034C68" w:rsidRDefault="00034C68">
      <w:pPr>
        <w:pStyle w:val="FootnoteText"/>
      </w:pPr>
      <w:r>
        <w:rPr>
          <w:rStyle w:val="FootnoteReference"/>
        </w:rPr>
        <w:footnoteRef/>
      </w:r>
      <w:r w:rsidR="001D4B79">
        <w:t xml:space="preserve"> For brevity’s sake and due to similar results,</w:t>
      </w:r>
      <w:r>
        <w:t xml:space="preserve"> </w:t>
      </w:r>
      <w:r w:rsidRPr="00034C68">
        <w:t xml:space="preserve">the other biplots </w:t>
      </w:r>
      <w:r w:rsidR="004B49CE">
        <w:t>can be found in the appendix.</w:t>
      </w:r>
    </w:p>
  </w:footnote>
  <w:footnote w:id="4">
    <w:p w14:paraId="2C773A87" w14:textId="1F9C17D9" w:rsidR="00797892" w:rsidRPr="00797892" w:rsidRDefault="00797892">
      <w:pPr>
        <w:pStyle w:val="FootnoteText"/>
      </w:pPr>
      <w:r>
        <w:rPr>
          <w:rStyle w:val="FootnoteReference"/>
        </w:rPr>
        <w:footnoteRef/>
      </w:r>
      <w:r>
        <w:t xml:space="preserve"> </w:t>
      </w:r>
      <w:r w:rsidRPr="00797892">
        <w:t>For excerpts of the variable t</w:t>
      </w:r>
      <w:r>
        <w:t>ables, please refer to the appendix.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1A2634"/>
    <w:multiLevelType w:val="hybridMultilevel"/>
    <w:tmpl w:val="CAD28D6C"/>
    <w:lvl w:ilvl="0" w:tplc="F5625BE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F51240"/>
    <w:multiLevelType w:val="hybridMultilevel"/>
    <w:tmpl w:val="F0CEC2AE"/>
    <w:lvl w:ilvl="0" w:tplc="296A2BF0">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9628B8"/>
    <w:multiLevelType w:val="hybridMultilevel"/>
    <w:tmpl w:val="6B505466"/>
    <w:lvl w:ilvl="0" w:tplc="F3F46DE6">
      <w:start w:val="2"/>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99171414">
    <w:abstractNumId w:val="1"/>
  </w:num>
  <w:num w:numId="2" w16cid:durableId="1328359712">
    <w:abstractNumId w:val="0"/>
  </w:num>
  <w:num w:numId="3" w16cid:durableId="707342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DD6"/>
    <w:rsid w:val="00002717"/>
    <w:rsid w:val="00004355"/>
    <w:rsid w:val="00011630"/>
    <w:rsid w:val="00034C68"/>
    <w:rsid w:val="000355E9"/>
    <w:rsid w:val="0004525F"/>
    <w:rsid w:val="00047D4C"/>
    <w:rsid w:val="00054B10"/>
    <w:rsid w:val="0006079F"/>
    <w:rsid w:val="0007551D"/>
    <w:rsid w:val="0008491C"/>
    <w:rsid w:val="000878BB"/>
    <w:rsid w:val="000A17A7"/>
    <w:rsid w:val="000A26A3"/>
    <w:rsid w:val="000B4BEE"/>
    <w:rsid w:val="000D00D7"/>
    <w:rsid w:val="000E4343"/>
    <w:rsid w:val="000E5E1F"/>
    <w:rsid w:val="000E6938"/>
    <w:rsid w:val="001126EF"/>
    <w:rsid w:val="00116AD3"/>
    <w:rsid w:val="00127071"/>
    <w:rsid w:val="001334B5"/>
    <w:rsid w:val="00157FA7"/>
    <w:rsid w:val="00163CCC"/>
    <w:rsid w:val="001849A0"/>
    <w:rsid w:val="001859AB"/>
    <w:rsid w:val="0019017E"/>
    <w:rsid w:val="00192A3A"/>
    <w:rsid w:val="001A3591"/>
    <w:rsid w:val="001A4019"/>
    <w:rsid w:val="001B5E27"/>
    <w:rsid w:val="001D4527"/>
    <w:rsid w:val="001D4B79"/>
    <w:rsid w:val="001D5427"/>
    <w:rsid w:val="001F33C3"/>
    <w:rsid w:val="001F3B73"/>
    <w:rsid w:val="001F6604"/>
    <w:rsid w:val="0021646B"/>
    <w:rsid w:val="00226A5A"/>
    <w:rsid w:val="00234870"/>
    <w:rsid w:val="00236128"/>
    <w:rsid w:val="00237AF3"/>
    <w:rsid w:val="00243942"/>
    <w:rsid w:val="00251DEB"/>
    <w:rsid w:val="0025638C"/>
    <w:rsid w:val="002840B7"/>
    <w:rsid w:val="00286BC4"/>
    <w:rsid w:val="00291C18"/>
    <w:rsid w:val="002A17E8"/>
    <w:rsid w:val="002A35C8"/>
    <w:rsid w:val="002C4F13"/>
    <w:rsid w:val="002F6D6B"/>
    <w:rsid w:val="002F73C3"/>
    <w:rsid w:val="00300C76"/>
    <w:rsid w:val="00303783"/>
    <w:rsid w:val="003113D6"/>
    <w:rsid w:val="00316581"/>
    <w:rsid w:val="00320254"/>
    <w:rsid w:val="003203CA"/>
    <w:rsid w:val="0032585C"/>
    <w:rsid w:val="00334F11"/>
    <w:rsid w:val="0034110B"/>
    <w:rsid w:val="003529D2"/>
    <w:rsid w:val="00354A19"/>
    <w:rsid w:val="0036245F"/>
    <w:rsid w:val="00362497"/>
    <w:rsid w:val="00381F6C"/>
    <w:rsid w:val="00394E7E"/>
    <w:rsid w:val="003B1C81"/>
    <w:rsid w:val="003B27DD"/>
    <w:rsid w:val="00404F3E"/>
    <w:rsid w:val="00454EF7"/>
    <w:rsid w:val="00462F6D"/>
    <w:rsid w:val="00467160"/>
    <w:rsid w:val="00471A77"/>
    <w:rsid w:val="00473C5D"/>
    <w:rsid w:val="0049558E"/>
    <w:rsid w:val="004979D8"/>
    <w:rsid w:val="004B082C"/>
    <w:rsid w:val="004B0C73"/>
    <w:rsid w:val="004B49CE"/>
    <w:rsid w:val="004C618E"/>
    <w:rsid w:val="004D5677"/>
    <w:rsid w:val="004D699B"/>
    <w:rsid w:val="004F1984"/>
    <w:rsid w:val="004F5B69"/>
    <w:rsid w:val="00501F8C"/>
    <w:rsid w:val="0052089A"/>
    <w:rsid w:val="005315C6"/>
    <w:rsid w:val="00537961"/>
    <w:rsid w:val="00543260"/>
    <w:rsid w:val="00561D4F"/>
    <w:rsid w:val="00562998"/>
    <w:rsid w:val="005635DC"/>
    <w:rsid w:val="00580382"/>
    <w:rsid w:val="0059009C"/>
    <w:rsid w:val="005B1D39"/>
    <w:rsid w:val="005D3244"/>
    <w:rsid w:val="005D58A4"/>
    <w:rsid w:val="005E2194"/>
    <w:rsid w:val="005E3F0F"/>
    <w:rsid w:val="005F61D5"/>
    <w:rsid w:val="005F6F21"/>
    <w:rsid w:val="00606766"/>
    <w:rsid w:val="00606904"/>
    <w:rsid w:val="006205D0"/>
    <w:rsid w:val="00621BA5"/>
    <w:rsid w:val="00630FAF"/>
    <w:rsid w:val="00642B9E"/>
    <w:rsid w:val="00650D22"/>
    <w:rsid w:val="00650D7F"/>
    <w:rsid w:val="00657748"/>
    <w:rsid w:val="0066413C"/>
    <w:rsid w:val="00677CE0"/>
    <w:rsid w:val="006809F5"/>
    <w:rsid w:val="0068327B"/>
    <w:rsid w:val="00691DA0"/>
    <w:rsid w:val="00694BB0"/>
    <w:rsid w:val="006D3489"/>
    <w:rsid w:val="006F1B24"/>
    <w:rsid w:val="00712172"/>
    <w:rsid w:val="007133C2"/>
    <w:rsid w:val="007137B3"/>
    <w:rsid w:val="00716BA0"/>
    <w:rsid w:val="00737C3A"/>
    <w:rsid w:val="00743C67"/>
    <w:rsid w:val="00745BAA"/>
    <w:rsid w:val="007578A5"/>
    <w:rsid w:val="00763248"/>
    <w:rsid w:val="007712D1"/>
    <w:rsid w:val="00785858"/>
    <w:rsid w:val="007870CC"/>
    <w:rsid w:val="007905A7"/>
    <w:rsid w:val="00792BDD"/>
    <w:rsid w:val="00797892"/>
    <w:rsid w:val="007A3717"/>
    <w:rsid w:val="007A4984"/>
    <w:rsid w:val="007B2D6F"/>
    <w:rsid w:val="007C0D59"/>
    <w:rsid w:val="007C1094"/>
    <w:rsid w:val="007D0D4F"/>
    <w:rsid w:val="007D47E1"/>
    <w:rsid w:val="007D62D3"/>
    <w:rsid w:val="007E3E31"/>
    <w:rsid w:val="007E4175"/>
    <w:rsid w:val="007E73C6"/>
    <w:rsid w:val="008054C7"/>
    <w:rsid w:val="00812A6B"/>
    <w:rsid w:val="0084297E"/>
    <w:rsid w:val="00847DB6"/>
    <w:rsid w:val="00851D64"/>
    <w:rsid w:val="00856E76"/>
    <w:rsid w:val="00857C5E"/>
    <w:rsid w:val="00871339"/>
    <w:rsid w:val="00871F5B"/>
    <w:rsid w:val="00872F1E"/>
    <w:rsid w:val="0088212F"/>
    <w:rsid w:val="00891668"/>
    <w:rsid w:val="00891A10"/>
    <w:rsid w:val="0089358D"/>
    <w:rsid w:val="008936FD"/>
    <w:rsid w:val="008A4DE5"/>
    <w:rsid w:val="008B0592"/>
    <w:rsid w:val="008B6291"/>
    <w:rsid w:val="008C325F"/>
    <w:rsid w:val="008C4972"/>
    <w:rsid w:val="008C5959"/>
    <w:rsid w:val="008D5D85"/>
    <w:rsid w:val="008E2062"/>
    <w:rsid w:val="00914521"/>
    <w:rsid w:val="009175E3"/>
    <w:rsid w:val="00917DAF"/>
    <w:rsid w:val="00931970"/>
    <w:rsid w:val="00961FBA"/>
    <w:rsid w:val="00962714"/>
    <w:rsid w:val="00962A5A"/>
    <w:rsid w:val="009647C5"/>
    <w:rsid w:val="00984AA3"/>
    <w:rsid w:val="009A1CAA"/>
    <w:rsid w:val="009B53F5"/>
    <w:rsid w:val="009C3C52"/>
    <w:rsid w:val="009C5681"/>
    <w:rsid w:val="009F11CD"/>
    <w:rsid w:val="00A00255"/>
    <w:rsid w:val="00A07677"/>
    <w:rsid w:val="00A105E9"/>
    <w:rsid w:val="00A16577"/>
    <w:rsid w:val="00A23828"/>
    <w:rsid w:val="00A365AB"/>
    <w:rsid w:val="00A36CA3"/>
    <w:rsid w:val="00A37269"/>
    <w:rsid w:val="00A43BA2"/>
    <w:rsid w:val="00A45EB1"/>
    <w:rsid w:val="00A6290F"/>
    <w:rsid w:val="00A74702"/>
    <w:rsid w:val="00A7754B"/>
    <w:rsid w:val="00A96158"/>
    <w:rsid w:val="00A97B69"/>
    <w:rsid w:val="00AA0F31"/>
    <w:rsid w:val="00AA4452"/>
    <w:rsid w:val="00AA5DD6"/>
    <w:rsid w:val="00AC7CC6"/>
    <w:rsid w:val="00AF5F3A"/>
    <w:rsid w:val="00AF71CC"/>
    <w:rsid w:val="00B16662"/>
    <w:rsid w:val="00B2224D"/>
    <w:rsid w:val="00B26FDC"/>
    <w:rsid w:val="00B3686A"/>
    <w:rsid w:val="00B41CB7"/>
    <w:rsid w:val="00B52D22"/>
    <w:rsid w:val="00B60AB8"/>
    <w:rsid w:val="00B617F3"/>
    <w:rsid w:val="00B85699"/>
    <w:rsid w:val="00B933A9"/>
    <w:rsid w:val="00BB464E"/>
    <w:rsid w:val="00BC1F0F"/>
    <w:rsid w:val="00BC7A72"/>
    <w:rsid w:val="00BE696F"/>
    <w:rsid w:val="00BE718B"/>
    <w:rsid w:val="00C1416E"/>
    <w:rsid w:val="00C2187C"/>
    <w:rsid w:val="00C23918"/>
    <w:rsid w:val="00C254C9"/>
    <w:rsid w:val="00C33785"/>
    <w:rsid w:val="00C44EF2"/>
    <w:rsid w:val="00C53FC5"/>
    <w:rsid w:val="00C5737E"/>
    <w:rsid w:val="00C725A8"/>
    <w:rsid w:val="00C81639"/>
    <w:rsid w:val="00C81DF3"/>
    <w:rsid w:val="00C97755"/>
    <w:rsid w:val="00CC26EB"/>
    <w:rsid w:val="00CD3D8F"/>
    <w:rsid w:val="00CE00A6"/>
    <w:rsid w:val="00D140D5"/>
    <w:rsid w:val="00D32981"/>
    <w:rsid w:val="00D37BA5"/>
    <w:rsid w:val="00D43797"/>
    <w:rsid w:val="00D52396"/>
    <w:rsid w:val="00D611D5"/>
    <w:rsid w:val="00D712CA"/>
    <w:rsid w:val="00D715FE"/>
    <w:rsid w:val="00D83402"/>
    <w:rsid w:val="00D84442"/>
    <w:rsid w:val="00D9154D"/>
    <w:rsid w:val="00D93A4B"/>
    <w:rsid w:val="00DB765A"/>
    <w:rsid w:val="00DD165F"/>
    <w:rsid w:val="00E0111A"/>
    <w:rsid w:val="00E10224"/>
    <w:rsid w:val="00E27228"/>
    <w:rsid w:val="00E30BE5"/>
    <w:rsid w:val="00E3238A"/>
    <w:rsid w:val="00E45D42"/>
    <w:rsid w:val="00E64D8A"/>
    <w:rsid w:val="00E71576"/>
    <w:rsid w:val="00E85635"/>
    <w:rsid w:val="00E85C0E"/>
    <w:rsid w:val="00ED1DED"/>
    <w:rsid w:val="00EF28A4"/>
    <w:rsid w:val="00F07680"/>
    <w:rsid w:val="00F1446E"/>
    <w:rsid w:val="00F16D60"/>
    <w:rsid w:val="00F20954"/>
    <w:rsid w:val="00F557B2"/>
    <w:rsid w:val="00F60DF0"/>
    <w:rsid w:val="00F7444A"/>
    <w:rsid w:val="00F87006"/>
    <w:rsid w:val="00F91D3A"/>
    <w:rsid w:val="00F92CEB"/>
    <w:rsid w:val="00F93999"/>
    <w:rsid w:val="00FA27A1"/>
    <w:rsid w:val="00FA4226"/>
    <w:rsid w:val="00FC0936"/>
    <w:rsid w:val="00FC61FB"/>
    <w:rsid w:val="00FD3ADA"/>
    <w:rsid w:val="00FD73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78A58"/>
  <w15:chartTrackingRefBased/>
  <w15:docId w15:val="{4756923B-7C1B-4783-AA37-5439B3EB8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4C9"/>
    <w:rPr>
      <w:rFonts w:ascii="Arial" w:hAnsi="Arial"/>
    </w:rPr>
  </w:style>
  <w:style w:type="paragraph" w:styleId="Heading1">
    <w:name w:val="heading 1"/>
    <w:basedOn w:val="Normal"/>
    <w:next w:val="Normal"/>
    <w:link w:val="Heading1Char"/>
    <w:uiPriority w:val="9"/>
    <w:qFormat/>
    <w:rsid w:val="00AA5D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5D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5D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5D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5D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5D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5D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5D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5D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D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5D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A5D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5D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5D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5D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5D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5D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5DD6"/>
    <w:rPr>
      <w:rFonts w:eastAsiaTheme="majorEastAsia" w:cstheme="majorBidi"/>
      <w:color w:val="272727" w:themeColor="text1" w:themeTint="D8"/>
    </w:rPr>
  </w:style>
  <w:style w:type="paragraph" w:styleId="Title">
    <w:name w:val="Title"/>
    <w:basedOn w:val="Normal"/>
    <w:next w:val="Normal"/>
    <w:link w:val="TitleChar"/>
    <w:uiPriority w:val="10"/>
    <w:qFormat/>
    <w:rsid w:val="00AA5D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D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5D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5D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5DD6"/>
    <w:pPr>
      <w:spacing w:before="160"/>
      <w:jc w:val="center"/>
    </w:pPr>
    <w:rPr>
      <w:i/>
      <w:iCs/>
      <w:color w:val="404040" w:themeColor="text1" w:themeTint="BF"/>
    </w:rPr>
  </w:style>
  <w:style w:type="character" w:customStyle="1" w:styleId="QuoteChar">
    <w:name w:val="Quote Char"/>
    <w:basedOn w:val="DefaultParagraphFont"/>
    <w:link w:val="Quote"/>
    <w:uiPriority w:val="29"/>
    <w:rsid w:val="00AA5DD6"/>
    <w:rPr>
      <w:i/>
      <w:iCs/>
      <w:color w:val="404040" w:themeColor="text1" w:themeTint="BF"/>
    </w:rPr>
  </w:style>
  <w:style w:type="paragraph" w:styleId="ListParagraph">
    <w:name w:val="List Paragraph"/>
    <w:basedOn w:val="Normal"/>
    <w:uiPriority w:val="34"/>
    <w:qFormat/>
    <w:rsid w:val="00AA5DD6"/>
    <w:pPr>
      <w:ind w:left="720"/>
      <w:contextualSpacing/>
    </w:pPr>
  </w:style>
  <w:style w:type="character" w:styleId="IntenseEmphasis">
    <w:name w:val="Intense Emphasis"/>
    <w:basedOn w:val="DefaultParagraphFont"/>
    <w:uiPriority w:val="21"/>
    <w:qFormat/>
    <w:rsid w:val="00AA5DD6"/>
    <w:rPr>
      <w:i/>
      <w:iCs/>
      <w:color w:val="0F4761" w:themeColor="accent1" w:themeShade="BF"/>
    </w:rPr>
  </w:style>
  <w:style w:type="paragraph" w:styleId="IntenseQuote">
    <w:name w:val="Intense Quote"/>
    <w:basedOn w:val="Normal"/>
    <w:next w:val="Normal"/>
    <w:link w:val="IntenseQuoteChar"/>
    <w:uiPriority w:val="30"/>
    <w:qFormat/>
    <w:rsid w:val="00AA5D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5DD6"/>
    <w:rPr>
      <w:i/>
      <w:iCs/>
      <w:color w:val="0F4761" w:themeColor="accent1" w:themeShade="BF"/>
    </w:rPr>
  </w:style>
  <w:style w:type="character" w:styleId="IntenseReference">
    <w:name w:val="Intense Reference"/>
    <w:basedOn w:val="DefaultParagraphFont"/>
    <w:uiPriority w:val="32"/>
    <w:qFormat/>
    <w:rsid w:val="00AA5DD6"/>
    <w:rPr>
      <w:b/>
      <w:bCs/>
      <w:smallCaps/>
      <w:color w:val="0F4761" w:themeColor="accent1" w:themeShade="BF"/>
      <w:spacing w:val="5"/>
    </w:rPr>
  </w:style>
  <w:style w:type="character" w:styleId="Hyperlink">
    <w:name w:val="Hyperlink"/>
    <w:basedOn w:val="DefaultParagraphFont"/>
    <w:uiPriority w:val="99"/>
    <w:unhideWhenUsed/>
    <w:rsid w:val="00362497"/>
    <w:rPr>
      <w:color w:val="467886" w:themeColor="hyperlink"/>
      <w:u w:val="single"/>
    </w:rPr>
  </w:style>
  <w:style w:type="character" w:styleId="UnresolvedMention">
    <w:name w:val="Unresolved Mention"/>
    <w:basedOn w:val="DefaultParagraphFont"/>
    <w:uiPriority w:val="99"/>
    <w:semiHidden/>
    <w:unhideWhenUsed/>
    <w:rsid w:val="00362497"/>
    <w:rPr>
      <w:color w:val="605E5C"/>
      <w:shd w:val="clear" w:color="auto" w:fill="E1DFDD"/>
    </w:rPr>
  </w:style>
  <w:style w:type="character" w:styleId="FollowedHyperlink">
    <w:name w:val="FollowedHyperlink"/>
    <w:basedOn w:val="DefaultParagraphFont"/>
    <w:uiPriority w:val="99"/>
    <w:semiHidden/>
    <w:unhideWhenUsed/>
    <w:rsid w:val="005F61D5"/>
    <w:rPr>
      <w:color w:val="96607D" w:themeColor="followedHyperlink"/>
      <w:u w:val="single"/>
    </w:rPr>
  </w:style>
  <w:style w:type="paragraph" w:styleId="FootnoteText">
    <w:name w:val="footnote text"/>
    <w:basedOn w:val="Normal"/>
    <w:link w:val="FootnoteTextChar"/>
    <w:uiPriority w:val="99"/>
    <w:semiHidden/>
    <w:unhideWhenUsed/>
    <w:rsid w:val="00DB76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765A"/>
    <w:rPr>
      <w:sz w:val="20"/>
      <w:szCs w:val="20"/>
    </w:rPr>
  </w:style>
  <w:style w:type="character" w:styleId="FootnoteReference">
    <w:name w:val="footnote reference"/>
    <w:basedOn w:val="DefaultParagraphFont"/>
    <w:uiPriority w:val="99"/>
    <w:semiHidden/>
    <w:unhideWhenUsed/>
    <w:rsid w:val="00DB765A"/>
    <w:rPr>
      <w:vertAlign w:val="superscript"/>
    </w:rPr>
  </w:style>
  <w:style w:type="paragraph" w:styleId="NormalWeb">
    <w:name w:val="Normal (Web)"/>
    <w:basedOn w:val="Normal"/>
    <w:uiPriority w:val="99"/>
    <w:semiHidden/>
    <w:unhideWhenUsed/>
    <w:rsid w:val="000A17A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5778085">
      <w:bodyDiv w:val="1"/>
      <w:marLeft w:val="0"/>
      <w:marRight w:val="0"/>
      <w:marTop w:val="0"/>
      <w:marBottom w:val="0"/>
      <w:divBdr>
        <w:top w:val="none" w:sz="0" w:space="0" w:color="auto"/>
        <w:left w:val="none" w:sz="0" w:space="0" w:color="auto"/>
        <w:bottom w:val="none" w:sz="0" w:space="0" w:color="auto"/>
        <w:right w:val="none" w:sz="0" w:space="0" w:color="auto"/>
      </w:divBdr>
    </w:div>
    <w:div w:id="186517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AA6D5-4A20-4B6C-9172-FE580D0B5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10</Pages>
  <Words>2065</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Sparhuber, Marc</dc:creator>
  <cp:keywords/>
  <dc:description/>
  <cp:lastModifiedBy>Sparhuber, Marc</cp:lastModifiedBy>
  <cp:revision>239</cp:revision>
  <dcterms:created xsi:type="dcterms:W3CDTF">2024-06-05T16:08:00Z</dcterms:created>
  <dcterms:modified xsi:type="dcterms:W3CDTF">2024-06-07T17:23:00Z</dcterms:modified>
</cp:coreProperties>
</file>