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5E6" w14:textId="65380B46" w:rsidR="00724528" w:rsidRDefault="00EE3332" w:rsidP="00724528">
      <w:pPr>
        <w:jc w:val="center"/>
        <w:rPr>
          <w:rFonts w:ascii="Times New Roman" w:hAnsi="Times New Roman" w:cs="Times New Roman"/>
          <w:b/>
          <w:bCs/>
          <w:sz w:val="28"/>
          <w:szCs w:val="28"/>
        </w:rPr>
      </w:pPr>
      <w:r w:rsidRPr="00EE3332">
        <w:rPr>
          <w:rFonts w:ascii="Times New Roman" w:hAnsi="Times New Roman" w:cs="Times New Roman"/>
          <w:b/>
          <w:bCs/>
          <w:sz w:val="28"/>
          <w:szCs w:val="28"/>
        </w:rPr>
        <w:t>Literature Survey</w:t>
      </w:r>
    </w:p>
    <w:p w14:paraId="4E9DBEA7" w14:textId="14A7DE6B" w:rsidR="00724528" w:rsidRDefault="00724528" w:rsidP="00724528">
      <w:pPr>
        <w:rPr>
          <w:rFonts w:ascii="Times New Roman" w:hAnsi="Times New Roman" w:cs="Times New Roman"/>
          <w:b/>
          <w:bCs/>
          <w:sz w:val="28"/>
          <w:szCs w:val="28"/>
        </w:rPr>
      </w:pPr>
    </w:p>
    <w:p w14:paraId="070C68DF" w14:textId="1A7E763E" w:rsidR="00724528" w:rsidRPr="00EB05E3" w:rsidRDefault="00724528" w:rsidP="0072452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5A462446" w14:textId="789C61DC" w:rsidR="00EB05E3" w:rsidRDefault="00EE3332" w:rsidP="00EE3332">
      <w:pPr>
        <w:rPr>
          <w:rFonts w:ascii="Times New Roman" w:hAnsi="Times New Roman" w:cs="Times New Roman"/>
          <w:sz w:val="28"/>
          <w:szCs w:val="28"/>
        </w:rPr>
      </w:pPr>
      <w:r w:rsidRPr="00EB05E3">
        <w:rPr>
          <w:rFonts w:ascii="Times New Roman" w:hAnsi="Times New Roman" w:cs="Times New Roman"/>
          <w:b/>
          <w:bCs/>
          <w:sz w:val="28"/>
          <w:szCs w:val="28"/>
        </w:rPr>
        <w:tab/>
      </w:r>
      <w:r w:rsidRPr="00EB05E3">
        <w:rPr>
          <w:rFonts w:ascii="Times New Roman" w:hAnsi="Times New Roman" w:cs="Times New Roman"/>
          <w:b/>
          <w:bCs/>
          <w:sz w:val="28"/>
          <w:szCs w:val="28"/>
        </w:rPr>
        <w:tab/>
      </w:r>
      <w:r w:rsidR="00EB05E3" w:rsidRPr="00EB05E3">
        <w:rPr>
          <w:rFonts w:ascii="Times New Roman" w:hAnsi="Times New Roman" w:cs="Times New Roman"/>
          <w:sz w:val="28"/>
          <w:szCs w:val="28"/>
        </w:rPr>
        <w:t>Kiron et al</w:t>
      </w:r>
      <w:r w:rsidR="00EB05E3">
        <w:rPr>
          <w:rFonts w:ascii="Times New Roman" w:hAnsi="Times New Roman" w:cs="Times New Roman"/>
          <w:sz w:val="28"/>
          <w:szCs w:val="28"/>
        </w:rPr>
        <w:t xml:space="preserve"> [1] </w:t>
      </w:r>
      <w:r w:rsidR="00EB05E3" w:rsidRPr="00EB05E3">
        <w:rPr>
          <w:rFonts w:ascii="Times New Roman" w:hAnsi="Times New Roman" w:cs="Times New Roman"/>
          <w:sz w:val="28"/>
          <w:szCs w:val="28"/>
        </w:rPr>
        <w:t>91 % of Fortune 1000 companies are investing in BDA projects, an 85 % increase from the previous year</w:t>
      </w:r>
      <w:r w:rsidR="00EB05E3">
        <w:rPr>
          <w:rFonts w:ascii="Times New Roman" w:hAnsi="Times New Roman" w:cs="Times New Roman"/>
          <w:sz w:val="28"/>
          <w:szCs w:val="28"/>
        </w:rPr>
        <w:t>.</w:t>
      </w:r>
    </w:p>
    <w:p w14:paraId="226320BF" w14:textId="4FEC018C" w:rsidR="00EB05E3" w:rsidRPr="006B5AFC" w:rsidRDefault="00EB05E3" w:rsidP="00EE3332">
      <w:pPr>
        <w:rPr>
          <w:rFonts w:ascii="Times New Roman" w:hAnsi="Times New Roman" w:cs="Times New Roman"/>
          <w:sz w:val="28"/>
          <w:szCs w:val="28"/>
        </w:rPr>
      </w:pPr>
    </w:p>
    <w:p w14:paraId="2C04409C" w14:textId="426839BF" w:rsidR="00EB05E3" w:rsidRDefault="00EB05E3" w:rsidP="004772CC">
      <w:pPr>
        <w:jc w:val="both"/>
        <w:rPr>
          <w:rFonts w:ascii="Times New Roman" w:hAnsi="Times New Roman" w:cs="Times New Roman"/>
          <w:sz w:val="28"/>
          <w:szCs w:val="28"/>
        </w:rPr>
      </w:pPr>
      <w:r w:rsidRPr="006B5AFC">
        <w:rPr>
          <w:rFonts w:ascii="Times New Roman" w:hAnsi="Times New Roman" w:cs="Times New Roman"/>
          <w:sz w:val="28"/>
          <w:szCs w:val="28"/>
        </w:rPr>
        <w:tab/>
      </w:r>
      <w:r w:rsidRPr="006B5AFC">
        <w:rPr>
          <w:rFonts w:ascii="Times New Roman" w:hAnsi="Times New Roman" w:cs="Times New Roman"/>
          <w:sz w:val="28"/>
          <w:szCs w:val="28"/>
        </w:rPr>
        <w:tab/>
        <w:t>Riggins et al [2] While the use of emerging internet-based technologies provides e-commerce firms with transformative benefits (e.g., real-time customer service, dynamic pricing, personalized offers or improved interaction)</w:t>
      </w:r>
    </w:p>
    <w:p w14:paraId="337C2EAD" w14:textId="3E1777F7" w:rsidR="006B5AFC" w:rsidRDefault="006B5AFC" w:rsidP="004772CC">
      <w:pPr>
        <w:jc w:val="both"/>
        <w:rPr>
          <w:rFonts w:ascii="Times New Roman" w:hAnsi="Times New Roman" w:cs="Times New Roman"/>
          <w:sz w:val="28"/>
          <w:szCs w:val="28"/>
        </w:rPr>
      </w:pPr>
    </w:p>
    <w:p w14:paraId="256225C2" w14:textId="347625FE" w:rsidR="006B5AFC" w:rsidRDefault="006B5AFC" w:rsidP="004772C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B5AFC">
        <w:rPr>
          <w:rFonts w:ascii="Times New Roman" w:hAnsi="Times New Roman" w:cs="Times New Roman"/>
          <w:sz w:val="28"/>
          <w:szCs w:val="28"/>
        </w:rPr>
        <w:t>Williamson et al [3] BDA can benefit online firms by improving market transaction cost efficiency (e.g., buyer</w:t>
      </w:r>
      <w:r>
        <w:rPr>
          <w:rFonts w:ascii="Times New Roman" w:hAnsi="Times New Roman" w:cs="Times New Roman"/>
          <w:sz w:val="28"/>
          <w:szCs w:val="28"/>
        </w:rPr>
        <w:t xml:space="preserve"> </w:t>
      </w:r>
      <w:r w:rsidRPr="006B5AFC">
        <w:rPr>
          <w:rFonts w:ascii="Times New Roman" w:hAnsi="Times New Roman" w:cs="Times New Roman"/>
          <w:sz w:val="28"/>
          <w:szCs w:val="28"/>
        </w:rPr>
        <w:t>seller interaction online), managerial transaction cost efficiency (e.g., process efficiency- recommendation algorithms by Amazon) and time cost efficiency (e.g., searching, bargaining and after sale monitoring).</w:t>
      </w:r>
    </w:p>
    <w:p w14:paraId="339C4802" w14:textId="0D833A30" w:rsidR="006B5AFC" w:rsidRPr="006B5AFC" w:rsidRDefault="006B5AFC" w:rsidP="004772CC">
      <w:pPr>
        <w:jc w:val="both"/>
        <w:rPr>
          <w:rFonts w:ascii="Times New Roman" w:hAnsi="Times New Roman" w:cs="Times New Roman"/>
          <w:sz w:val="28"/>
          <w:szCs w:val="28"/>
        </w:rPr>
      </w:pPr>
    </w:p>
    <w:p w14:paraId="7E5C0585" w14:textId="314D9963" w:rsidR="006B5AFC" w:rsidRDefault="006B5AFC" w:rsidP="004772CC">
      <w:pPr>
        <w:jc w:val="both"/>
        <w:rPr>
          <w:rFonts w:ascii="Times New Roman" w:hAnsi="Times New Roman" w:cs="Times New Roman"/>
          <w:sz w:val="28"/>
          <w:szCs w:val="28"/>
        </w:rPr>
      </w:pPr>
      <w:r w:rsidRPr="006B5AFC">
        <w:rPr>
          <w:rFonts w:ascii="Times New Roman" w:hAnsi="Times New Roman" w:cs="Times New Roman"/>
          <w:sz w:val="28"/>
          <w:szCs w:val="28"/>
        </w:rPr>
        <w:tab/>
      </w:r>
      <w:r w:rsidRPr="006B5AFC">
        <w:rPr>
          <w:rFonts w:ascii="Times New Roman" w:hAnsi="Times New Roman" w:cs="Times New Roman"/>
          <w:sz w:val="28"/>
          <w:szCs w:val="28"/>
        </w:rPr>
        <w:tab/>
      </w:r>
      <w:proofErr w:type="spellStart"/>
      <w:r w:rsidRPr="006B5AFC">
        <w:rPr>
          <w:rFonts w:ascii="Times New Roman" w:hAnsi="Times New Roman" w:cs="Times New Roman"/>
          <w:sz w:val="28"/>
          <w:szCs w:val="28"/>
        </w:rPr>
        <w:t>Orlikowski</w:t>
      </w:r>
      <w:proofErr w:type="spellEnd"/>
      <w:r w:rsidRPr="006B5AFC">
        <w:rPr>
          <w:rFonts w:ascii="Times New Roman" w:hAnsi="Times New Roman" w:cs="Times New Roman"/>
          <w:sz w:val="28"/>
          <w:szCs w:val="28"/>
        </w:rPr>
        <w:t xml:space="preserve"> </w:t>
      </w:r>
      <w:r>
        <w:rPr>
          <w:rFonts w:ascii="Times New Roman" w:hAnsi="Times New Roman" w:cs="Times New Roman"/>
          <w:sz w:val="28"/>
          <w:szCs w:val="28"/>
        </w:rPr>
        <w:t xml:space="preserve">et al [4] </w:t>
      </w:r>
      <w:r w:rsidRPr="006B5AFC">
        <w:rPr>
          <w:rFonts w:ascii="Times New Roman" w:hAnsi="Times New Roman" w:cs="Times New Roman"/>
          <w:sz w:val="28"/>
          <w:szCs w:val="28"/>
        </w:rPr>
        <w:t xml:space="preserve">In addition to the RBV, this research views BDA from the relational ontology of </w:t>
      </w:r>
      <w:proofErr w:type="spellStart"/>
      <w:r w:rsidRPr="006B5AFC">
        <w:rPr>
          <w:rFonts w:ascii="Times New Roman" w:hAnsi="Times New Roman" w:cs="Times New Roman"/>
          <w:sz w:val="28"/>
          <w:szCs w:val="28"/>
        </w:rPr>
        <w:t>sociomaterialism</w:t>
      </w:r>
      <w:proofErr w:type="spellEnd"/>
      <w:r w:rsidRPr="006B5AFC">
        <w:rPr>
          <w:rFonts w:ascii="Times New Roman" w:hAnsi="Times New Roman" w:cs="Times New Roman"/>
          <w:sz w:val="28"/>
          <w:szCs w:val="28"/>
        </w:rPr>
        <w:t xml:space="preserve"> perspective, which puts forward the argument that different organizational capabilities (e.g., management, technology and talent) are constitutively entangled</w:t>
      </w:r>
      <w:r w:rsidR="00775B93">
        <w:rPr>
          <w:rFonts w:ascii="Times New Roman" w:hAnsi="Times New Roman" w:cs="Times New Roman"/>
          <w:sz w:val="28"/>
          <w:szCs w:val="28"/>
        </w:rPr>
        <w:t>.</w:t>
      </w:r>
      <w:r w:rsidRPr="006B5AFC">
        <w:rPr>
          <w:rFonts w:ascii="Times New Roman" w:hAnsi="Times New Roman" w:cs="Times New Roman"/>
          <w:sz w:val="28"/>
          <w:szCs w:val="28"/>
        </w:rPr>
        <w:t xml:space="preserve"> </w:t>
      </w:r>
    </w:p>
    <w:p w14:paraId="6678A76A" w14:textId="5CF0D96D" w:rsidR="00775B93" w:rsidRDefault="00775B93" w:rsidP="004772CC">
      <w:pPr>
        <w:jc w:val="both"/>
        <w:rPr>
          <w:rFonts w:ascii="Times New Roman" w:hAnsi="Times New Roman" w:cs="Times New Roman"/>
          <w:sz w:val="28"/>
          <w:szCs w:val="28"/>
        </w:rPr>
      </w:pPr>
      <w:r>
        <w:rPr>
          <w:rFonts w:ascii="Times New Roman" w:hAnsi="Times New Roman" w:cs="Times New Roman"/>
          <w:sz w:val="28"/>
          <w:szCs w:val="28"/>
        </w:rPr>
        <w:tab/>
      </w:r>
    </w:p>
    <w:p w14:paraId="1ED21E24" w14:textId="50F87E8F" w:rsidR="00775B93" w:rsidRDefault="00775B93" w:rsidP="004772C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775B93">
        <w:rPr>
          <w:rFonts w:ascii="Times New Roman" w:hAnsi="Times New Roman" w:cs="Times New Roman"/>
          <w:sz w:val="28"/>
          <w:szCs w:val="28"/>
        </w:rPr>
        <w:t>Jao</w:t>
      </w:r>
      <w:proofErr w:type="spellEnd"/>
      <w:r w:rsidRPr="00775B93">
        <w:rPr>
          <w:rFonts w:ascii="Times New Roman" w:hAnsi="Times New Roman" w:cs="Times New Roman"/>
          <w:sz w:val="28"/>
          <w:szCs w:val="28"/>
        </w:rPr>
        <w:t xml:space="preserve"> </w:t>
      </w:r>
      <w:r>
        <w:rPr>
          <w:rFonts w:ascii="Times New Roman" w:hAnsi="Times New Roman" w:cs="Times New Roman"/>
          <w:sz w:val="28"/>
          <w:szCs w:val="28"/>
        </w:rPr>
        <w:t xml:space="preserve">et at [5] </w:t>
      </w:r>
      <w:r w:rsidRPr="00775B93">
        <w:rPr>
          <w:rFonts w:ascii="Times New Roman" w:hAnsi="Times New Roman" w:cs="Times New Roman"/>
          <w:sz w:val="28"/>
          <w:szCs w:val="28"/>
        </w:rPr>
        <w:t>BDA can further solidify these impacts by enabling informed decisions based on critical insights. Specifically, in the e-commerce context, “big data enables merchants to track each user’s behavior and connect the dots to determine the most effective ways to convert onetime customers into repeat buyers”</w:t>
      </w:r>
      <w:r>
        <w:rPr>
          <w:rFonts w:ascii="Times New Roman" w:hAnsi="Times New Roman" w:cs="Times New Roman"/>
          <w:sz w:val="28"/>
          <w:szCs w:val="28"/>
        </w:rPr>
        <w:t>.</w:t>
      </w:r>
    </w:p>
    <w:p w14:paraId="681C2756" w14:textId="1B1E03F5" w:rsidR="00724528" w:rsidRPr="00724528" w:rsidRDefault="00724528" w:rsidP="004772CC">
      <w:pPr>
        <w:jc w:val="both"/>
        <w:rPr>
          <w:rFonts w:ascii="Times New Roman" w:hAnsi="Times New Roman" w:cs="Times New Roman"/>
          <w:sz w:val="28"/>
          <w:szCs w:val="28"/>
        </w:rPr>
      </w:pPr>
    </w:p>
    <w:p w14:paraId="698A8F30" w14:textId="3BCE6B15" w:rsidR="00724528" w:rsidRPr="00724528" w:rsidRDefault="00724528" w:rsidP="004772CC">
      <w:pPr>
        <w:jc w:val="both"/>
        <w:rPr>
          <w:rFonts w:ascii="Times New Roman" w:hAnsi="Times New Roman" w:cs="Times New Roman"/>
          <w:sz w:val="28"/>
          <w:szCs w:val="28"/>
        </w:rPr>
      </w:pPr>
      <w:r w:rsidRPr="00724528">
        <w:rPr>
          <w:rFonts w:ascii="Times New Roman" w:hAnsi="Times New Roman" w:cs="Times New Roman"/>
          <w:sz w:val="28"/>
          <w:szCs w:val="28"/>
        </w:rPr>
        <w:tab/>
      </w:r>
      <w:r w:rsidRPr="00724528">
        <w:rPr>
          <w:rFonts w:ascii="Times New Roman" w:hAnsi="Times New Roman" w:cs="Times New Roman"/>
          <w:sz w:val="28"/>
          <w:szCs w:val="28"/>
        </w:rPr>
        <w:tab/>
      </w:r>
      <w:r w:rsidRPr="00724528">
        <w:rPr>
          <w:rFonts w:ascii="Times New Roman" w:hAnsi="Times New Roman" w:cs="Times New Roman"/>
          <w:sz w:val="28"/>
          <w:szCs w:val="28"/>
        </w:rPr>
        <w:t>Barrett et al</w:t>
      </w:r>
      <w:r w:rsidRPr="00724528">
        <w:rPr>
          <w:rFonts w:ascii="Times New Roman" w:hAnsi="Times New Roman" w:cs="Times New Roman"/>
          <w:sz w:val="28"/>
          <w:szCs w:val="28"/>
        </w:rPr>
        <w:t xml:space="preserve"> </w:t>
      </w:r>
      <w:r>
        <w:rPr>
          <w:rFonts w:ascii="Times New Roman" w:hAnsi="Times New Roman" w:cs="Times New Roman"/>
          <w:sz w:val="28"/>
          <w:szCs w:val="28"/>
        </w:rPr>
        <w:t xml:space="preserve">[6] </w:t>
      </w:r>
      <w:r w:rsidRPr="00724528">
        <w:rPr>
          <w:rFonts w:ascii="Times New Roman" w:hAnsi="Times New Roman" w:cs="Times New Roman"/>
          <w:sz w:val="28"/>
          <w:szCs w:val="28"/>
        </w:rPr>
        <w:t>service marketing offers the perspective of improving service innovation models, which has been reflected by firms such as Rolls Royce</w:t>
      </w:r>
      <w:r>
        <w:rPr>
          <w:rFonts w:ascii="Times New Roman" w:hAnsi="Times New Roman" w:cs="Times New Roman"/>
          <w:sz w:val="28"/>
          <w:szCs w:val="28"/>
        </w:rPr>
        <w:t>.</w:t>
      </w:r>
    </w:p>
    <w:p w14:paraId="371C2440" w14:textId="4DA77C66" w:rsidR="00775B93" w:rsidRDefault="00775B93" w:rsidP="004772CC">
      <w:pPr>
        <w:jc w:val="both"/>
        <w:rPr>
          <w:rFonts w:ascii="Times New Roman" w:hAnsi="Times New Roman" w:cs="Times New Roman"/>
          <w:sz w:val="28"/>
          <w:szCs w:val="28"/>
        </w:rPr>
      </w:pPr>
    </w:p>
    <w:p w14:paraId="2D5C2408" w14:textId="4B96DB56" w:rsidR="00775B93" w:rsidRDefault="00775B93" w:rsidP="004772CC">
      <w:pPr>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724528">
        <w:rPr>
          <w:rFonts w:ascii="Times New Roman" w:hAnsi="Times New Roman" w:cs="Times New Roman"/>
          <w:sz w:val="28"/>
          <w:szCs w:val="28"/>
        </w:rPr>
        <w:t xml:space="preserve">In </w:t>
      </w:r>
      <w:r w:rsidR="00724528" w:rsidRPr="00724528">
        <w:rPr>
          <w:rFonts w:ascii="Times New Roman" w:hAnsi="Times New Roman" w:cs="Times New Roman"/>
          <w:sz w:val="28"/>
          <w:szCs w:val="28"/>
        </w:rPr>
        <w:t>this paper intends to provide a thorough representation of the meaning of big data in the e-commerce context. We have organized this paper into five main parts. Firstly, in section 2, we explain the methodological gestalt and present the results of our systematic review. By collating this information, in section 3, we then define the role of big data in ecommerce and identify alternative definitional perspectives. Secondly, in section 4, we analyze the distinctive attributes and types of big data within e-commerce. Thirdly, in section 5, we recommend different types of business value that can be derived using BDA in the e-commerce domain. Finally, we identify the challenges and provide solutions to tackle them in order to foster the growth of BDA in e-commerce.</w:t>
      </w:r>
    </w:p>
    <w:p w14:paraId="7D2A841E" w14:textId="77777777" w:rsidR="00775B93" w:rsidRPr="00775B93" w:rsidRDefault="00775B93" w:rsidP="004772CC">
      <w:pPr>
        <w:jc w:val="both"/>
        <w:rPr>
          <w:rFonts w:ascii="Times New Roman" w:hAnsi="Times New Roman" w:cs="Times New Roman"/>
          <w:sz w:val="28"/>
          <w:szCs w:val="28"/>
        </w:rPr>
      </w:pPr>
    </w:p>
    <w:p w14:paraId="639FF5BD" w14:textId="64256CF6" w:rsidR="00EE3332" w:rsidRPr="00724528" w:rsidRDefault="00EB05E3" w:rsidP="00724528">
      <w:pPr>
        <w:jc w:val="both"/>
        <w:rPr>
          <w:rFonts w:ascii="Times New Roman" w:hAnsi="Times New Roman" w:cs="Times New Roman"/>
          <w:sz w:val="28"/>
          <w:szCs w:val="28"/>
        </w:rPr>
      </w:pPr>
      <w:r>
        <w:rPr>
          <w:rFonts w:ascii="Times New Roman" w:hAnsi="Times New Roman" w:cs="Times New Roman"/>
          <w:b/>
          <w:bCs/>
          <w:sz w:val="28"/>
          <w:szCs w:val="28"/>
        </w:rPr>
        <w:t>Reference:</w:t>
      </w:r>
    </w:p>
    <w:p w14:paraId="1A5A3CE4" w14:textId="4FFF408B" w:rsidR="00EB05E3" w:rsidRDefault="00EB05E3" w:rsidP="00EB05E3">
      <w:pPr>
        <w:pStyle w:val="ListParagraph"/>
        <w:numPr>
          <w:ilvl w:val="0"/>
          <w:numId w:val="1"/>
        </w:numPr>
        <w:rPr>
          <w:rFonts w:ascii="Times New Roman" w:hAnsi="Times New Roman" w:cs="Times New Roman"/>
          <w:sz w:val="28"/>
          <w:szCs w:val="28"/>
        </w:rPr>
      </w:pPr>
      <w:r w:rsidRPr="00EB05E3">
        <w:rPr>
          <w:rFonts w:ascii="Times New Roman" w:hAnsi="Times New Roman" w:cs="Times New Roman"/>
          <w:sz w:val="28"/>
          <w:szCs w:val="28"/>
        </w:rPr>
        <w:t>Kiron, D., Prentice, P. K., &amp; Ferguson, R. B. (2014a). The analytics mandate. MIT Sloan Management Review, 55, 1–25</w:t>
      </w:r>
    </w:p>
    <w:p w14:paraId="0E5BF395" w14:textId="7C73ECF2" w:rsidR="00EB05E3" w:rsidRDefault="00EB05E3" w:rsidP="00EB05E3">
      <w:pPr>
        <w:pStyle w:val="ListParagraph"/>
        <w:numPr>
          <w:ilvl w:val="0"/>
          <w:numId w:val="1"/>
        </w:numPr>
        <w:rPr>
          <w:rFonts w:ascii="Times New Roman" w:hAnsi="Times New Roman" w:cs="Times New Roman"/>
          <w:sz w:val="28"/>
          <w:szCs w:val="28"/>
        </w:rPr>
      </w:pPr>
      <w:r w:rsidRPr="00EB05E3">
        <w:rPr>
          <w:rFonts w:ascii="Times New Roman" w:hAnsi="Times New Roman" w:cs="Times New Roman"/>
          <w:sz w:val="28"/>
          <w:szCs w:val="28"/>
        </w:rPr>
        <w:t>Riggins, F. J. (1999). A framework for identifying web-based electronic commerce opportunities. Journal of Organizational Computing and Electronic Commerce, 9, 297–310.</w:t>
      </w:r>
    </w:p>
    <w:p w14:paraId="0655F747" w14:textId="1A7E0302" w:rsidR="006B5AFC" w:rsidRDefault="006B5AFC" w:rsidP="00EB05E3">
      <w:pPr>
        <w:pStyle w:val="ListParagraph"/>
        <w:numPr>
          <w:ilvl w:val="0"/>
          <w:numId w:val="1"/>
        </w:numPr>
        <w:rPr>
          <w:rFonts w:ascii="Times New Roman" w:hAnsi="Times New Roman" w:cs="Times New Roman"/>
          <w:sz w:val="28"/>
          <w:szCs w:val="28"/>
        </w:rPr>
      </w:pPr>
      <w:r w:rsidRPr="006B5AFC">
        <w:rPr>
          <w:rFonts w:ascii="Times New Roman" w:hAnsi="Times New Roman" w:cs="Times New Roman"/>
          <w:sz w:val="28"/>
          <w:szCs w:val="28"/>
        </w:rPr>
        <w:t>Williamson, O. E. (1981). The economics of organization: the transaction cost approach. American Journal of Sociology, 87, 548–577.</w:t>
      </w:r>
    </w:p>
    <w:p w14:paraId="6F461F4B" w14:textId="217AB827" w:rsidR="006B5AFC" w:rsidRDefault="006B5AFC" w:rsidP="00EB05E3">
      <w:pPr>
        <w:pStyle w:val="ListParagraph"/>
        <w:numPr>
          <w:ilvl w:val="0"/>
          <w:numId w:val="1"/>
        </w:numPr>
        <w:rPr>
          <w:rFonts w:ascii="Times New Roman" w:hAnsi="Times New Roman" w:cs="Times New Roman"/>
          <w:sz w:val="28"/>
          <w:szCs w:val="28"/>
        </w:rPr>
      </w:pPr>
      <w:proofErr w:type="spellStart"/>
      <w:r w:rsidRPr="006B5AFC">
        <w:rPr>
          <w:rFonts w:ascii="Times New Roman" w:hAnsi="Times New Roman" w:cs="Times New Roman"/>
          <w:sz w:val="28"/>
          <w:szCs w:val="28"/>
        </w:rPr>
        <w:t>Orlikowski</w:t>
      </w:r>
      <w:proofErr w:type="spellEnd"/>
      <w:r w:rsidRPr="006B5AFC">
        <w:rPr>
          <w:rFonts w:ascii="Times New Roman" w:hAnsi="Times New Roman" w:cs="Times New Roman"/>
          <w:sz w:val="28"/>
          <w:szCs w:val="28"/>
        </w:rPr>
        <w:t xml:space="preserve">, W. J. (2007). </w:t>
      </w:r>
      <w:proofErr w:type="spellStart"/>
      <w:r w:rsidRPr="006B5AFC">
        <w:rPr>
          <w:rFonts w:ascii="Times New Roman" w:hAnsi="Times New Roman" w:cs="Times New Roman"/>
          <w:sz w:val="28"/>
          <w:szCs w:val="28"/>
        </w:rPr>
        <w:t>Sociomaterial</w:t>
      </w:r>
      <w:proofErr w:type="spellEnd"/>
      <w:r w:rsidRPr="006B5AFC">
        <w:rPr>
          <w:rFonts w:ascii="Times New Roman" w:hAnsi="Times New Roman" w:cs="Times New Roman"/>
          <w:sz w:val="28"/>
          <w:szCs w:val="28"/>
        </w:rPr>
        <w:t xml:space="preserve"> practices: exploring technology at work. Organization Studies, 28, 1435–1448.</w:t>
      </w:r>
    </w:p>
    <w:p w14:paraId="7BF769DC" w14:textId="58386180" w:rsidR="00175FF2" w:rsidRPr="00175FF2" w:rsidRDefault="00175FF2" w:rsidP="00EB05E3">
      <w:pPr>
        <w:pStyle w:val="ListParagraph"/>
        <w:numPr>
          <w:ilvl w:val="0"/>
          <w:numId w:val="1"/>
        </w:numPr>
        <w:rPr>
          <w:rFonts w:ascii="Times New Roman" w:hAnsi="Times New Roman" w:cs="Times New Roman"/>
          <w:sz w:val="28"/>
          <w:szCs w:val="28"/>
        </w:rPr>
      </w:pPr>
      <w:proofErr w:type="spellStart"/>
      <w:r w:rsidRPr="00175FF2">
        <w:rPr>
          <w:rFonts w:ascii="Times New Roman" w:hAnsi="Times New Roman" w:cs="Times New Roman"/>
          <w:sz w:val="28"/>
          <w:szCs w:val="28"/>
        </w:rPr>
        <w:t>Jao</w:t>
      </w:r>
      <w:proofErr w:type="spellEnd"/>
      <w:r w:rsidRPr="00175FF2">
        <w:rPr>
          <w:rFonts w:ascii="Times New Roman" w:hAnsi="Times New Roman" w:cs="Times New Roman"/>
          <w:sz w:val="28"/>
          <w:szCs w:val="28"/>
        </w:rPr>
        <w:t xml:space="preserve">, J., (2013). Why big data Is A must </w:t>
      </w:r>
      <w:proofErr w:type="gramStart"/>
      <w:r w:rsidRPr="00175FF2">
        <w:rPr>
          <w:rFonts w:ascii="Times New Roman" w:hAnsi="Times New Roman" w:cs="Times New Roman"/>
          <w:sz w:val="28"/>
          <w:szCs w:val="28"/>
        </w:rPr>
        <w:t>In</w:t>
      </w:r>
      <w:proofErr w:type="gramEnd"/>
      <w:r w:rsidRPr="00175FF2">
        <w:rPr>
          <w:rFonts w:ascii="Times New Roman" w:hAnsi="Times New Roman" w:cs="Times New Roman"/>
          <w:sz w:val="28"/>
          <w:szCs w:val="28"/>
        </w:rPr>
        <w:t xml:space="preserve"> ecommerce. </w:t>
      </w:r>
    </w:p>
    <w:p w14:paraId="2FE67B81" w14:textId="409F11E1" w:rsidR="00175FF2" w:rsidRPr="00724528" w:rsidRDefault="00724528">
      <w:pPr>
        <w:pStyle w:val="ListParagraph"/>
        <w:numPr>
          <w:ilvl w:val="0"/>
          <w:numId w:val="1"/>
        </w:numPr>
        <w:rPr>
          <w:rFonts w:ascii="Times New Roman" w:hAnsi="Times New Roman" w:cs="Times New Roman"/>
          <w:sz w:val="28"/>
          <w:szCs w:val="28"/>
        </w:rPr>
      </w:pPr>
      <w:r w:rsidRPr="00724528">
        <w:rPr>
          <w:rFonts w:ascii="Times New Roman" w:hAnsi="Times New Roman" w:cs="Times New Roman"/>
          <w:sz w:val="28"/>
          <w:szCs w:val="28"/>
        </w:rPr>
        <w:t>Barrett, M., Davidson, E., Prabhu, J., &amp; Vargo, S. L. (2015). Service innovation in the digital age. MIS Quarterly, 39, 135–154.</w:t>
      </w:r>
    </w:p>
    <w:sectPr w:rsidR="00175FF2" w:rsidRPr="0072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A5CD1"/>
    <w:multiLevelType w:val="hybridMultilevel"/>
    <w:tmpl w:val="AE36D9C4"/>
    <w:lvl w:ilvl="0" w:tplc="D0E2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78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32"/>
    <w:rsid w:val="00175FF2"/>
    <w:rsid w:val="004772CC"/>
    <w:rsid w:val="00605890"/>
    <w:rsid w:val="006B5AFC"/>
    <w:rsid w:val="00724528"/>
    <w:rsid w:val="00775B93"/>
    <w:rsid w:val="00EB05E3"/>
    <w:rsid w:val="00EE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1483"/>
  <w15:chartTrackingRefBased/>
  <w15:docId w15:val="{CEEBE061-32E5-4FA4-AA43-84B3590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2833</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Karkuvel Prabakaran</cp:lastModifiedBy>
  <cp:revision>2</cp:revision>
  <dcterms:created xsi:type="dcterms:W3CDTF">2022-09-24T10:26:00Z</dcterms:created>
  <dcterms:modified xsi:type="dcterms:W3CDTF">2022-09-28T15:45:00Z</dcterms:modified>
</cp:coreProperties>
</file>