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2024-08-13 - 2024-09-11</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13 Agustus 2024 - 11 September 2024 dilaporkan statistik sebagai berikut:</w:t>
      </w:r>
    </w:p>
    <w:tbl>
      <w:tblGrid>
        <w:gridCol w:w="2000" w:type="dxa"/>
        <w:gridCol w:w="2000" w:type="dxa"/>
        <w:gridCol w:w="2000" w:type="dxa"/>
        <w:gridCol w:w="2000" w:type="dxa"/>
      </w:tblGrid>
      <w:tblPr>
        <w:tblStyle w:val="IPM Table"/>
      </w:tblPr>
      <w:tr>
        <w:trPr/>
        <w:tc>
          <w:tcPr>
            <w:tcW w:w="2000" w:type="dxa"/>
            <w:vAlign w:val="center"/>
          </w:tcPr>
          <w:p>
            <w:pPr>
              <w:jc w:val="center"/>
            </w:pPr>
            <w:r>
              <w:rPr>
                <w:b w:val="1"/>
                <w:bCs w:val="1"/>
              </w:rPr>
              <w:t xml:space="preserve">Jenis Kegiatan</w:t>
            </w:r>
          </w:p>
        </w:tc>
        <w:tc>
          <w:tcPr>
            <w:tcW w:w="2000" w:type="dxa"/>
            <w:vAlign w:val="center"/>
          </w:tcPr>
          <w:p>
            <w:pPr>
              <w:jc w:val="center"/>
            </w:pPr>
            <w:r>
              <w:rPr>
                <w:b w:val="1"/>
                <w:bCs w:val="1"/>
              </w:rPr>
              <w:t xml:space="preserve">Jumlah Terlaksana</w:t>
            </w:r>
          </w:p>
        </w:tc>
        <w:tc>
          <w:tcPr>
            <w:tcW w:w="2000" w:type="dxa"/>
            <w:vAlign w:val="center"/>
          </w:tcPr>
          <w:p>
            <w:pPr>
              <w:jc w:val="center"/>
            </w:pPr>
            <w:r>
              <w:rPr>
                <w:b w:val="1"/>
                <w:bCs w:val="1"/>
              </w:rPr>
              <w:t xml:space="preserve">Jumlah Direncanakan</w:t>
            </w:r>
          </w:p>
        </w:tc>
        <w:tc>
          <w:tcPr>
            <w:tcW w:w="2000" w:type="dxa"/>
            <w:vAlign w:val="center"/>
          </w:tcPr>
          <w:p>
            <w:pPr>
              <w:jc w:val="center"/>
            </w:pPr>
            <w:r>
              <w:rPr>
                <w:b w:val="1"/>
                <w:bCs w:val="1"/>
              </w:rPr>
              <w:t xml:space="preserve">Persentase</w:t>
            </w:r>
          </w:p>
        </w:tc>
      </w:tr>
      <w:tr>
        <w:trPr/>
        <w:tc>
          <w:tcPr>
            <w:tcW w:w="2000" w:type="dxa"/>
            <w:vAlign w:val="center"/>
          </w:tcPr>
          <w:p>
            <w:pPr>
              <w:jc w:val="center"/>
            </w:pPr>
            <w:r>
              <w:rPr>
                <w:rStyle w:val="oneUserDefinedStyle"/>
              </w:rPr>
              <w:t xml:space="preserve">Preventive Maintenance</w:t>
            </w:r>
          </w:p>
        </w:tc>
        <w:tc>
          <w:tcPr>
            <w:tcW w:w="2000" w:type="dxa"/>
            <w:vAlign w:val="center"/>
          </w:tcPr>
          <w:p>
            <w:pPr>
              <w:jc w:val="center"/>
            </w:pPr>
            <w:r>
              <w:rPr>
                <w:rStyle w:val="oneUserDefinedStyle"/>
              </w:rPr>
              <w:t xml:space="preserve">2</w:t>
            </w:r>
          </w:p>
        </w:tc>
        <w:tc>
          <w:tcPr>
            <w:tcW w:w="2000" w:type="dxa"/>
            <w:vAlign w:val="center"/>
          </w:tcPr>
          <w:p>
            <w:pPr>
              <w:jc w:val="center"/>
            </w:pPr>
            <w:r>
              <w:rPr>
                <w:rStyle w:val="oneUserDefinedStyle"/>
              </w:rPr>
              <w:t xml:space="preserve">5</w:t>
            </w:r>
          </w:p>
        </w:tc>
        <w:tc>
          <w:tcPr>
            <w:tcW w:w="2000" w:type="dxa"/>
            <w:vAlign w:val="center"/>
          </w:tcPr>
          <w:p>
            <w:pPr>
              <w:jc w:val="center"/>
            </w:pPr>
            <w:r>
              <w:rPr>
                <w:rStyle w:val="oneUserDefinedStyle"/>
              </w:rPr>
              <w:t xml:space="preserve">40%</w:t>
            </w:r>
          </w:p>
        </w:tc>
      </w:tr>
      <w:tr>
        <w:trPr/>
        <w:tc>
          <w:tcPr>
            <w:tcW w:w="2000" w:type="dxa"/>
            <w:vAlign w:val="center"/>
          </w:tcPr>
          <w:p>
            <w:pPr>
              <w:jc w:val="center"/>
            </w:pPr>
            <w:r>
              <w:rPr>
                <w:rStyle w:val="oneUserDefinedStyle"/>
              </w:rPr>
              <w:t xml:space="preserve">Service</w:t>
            </w:r>
          </w:p>
        </w:tc>
        <w:tc>
          <w:tcPr>
            <w:tcW w:w="2000" w:type="dxa"/>
            <w:vAlign w:val="center"/>
          </w:tcPr>
          <w:p>
            <w:pPr>
              <w:jc w:val="center"/>
            </w:pPr>
            <w:r>
              <w:rPr>
                <w:rStyle w:val="oneUserDefinedStyle"/>
              </w:rPr>
              <w:t xml:space="preserve">1</w:t>
            </w:r>
          </w:p>
        </w:tc>
        <w:tc>
          <w:tcPr>
            <w:tcW w:w="2000" w:type="dxa"/>
            <w:vAlign w:val="center"/>
          </w:tcPr>
          <w:p>
            <w:pPr>
              <w:jc w:val="center"/>
            </w:pPr>
            <w:r>
              <w:rPr>
                <w:rStyle w:val="oneUserDefinedStyle"/>
              </w:rPr>
              <w:t xml:space="preserve">2</w:t>
            </w:r>
          </w:p>
        </w:tc>
        <w:tc>
          <w:tcPr>
            <w:tcW w:w="2000" w:type="dxa"/>
            <w:vAlign w:val="center"/>
          </w:tcPr>
          <w:p>
            <w:pPr>
              <w:jc w:val="center"/>
            </w:pPr>
            <w:r>
              <w:rPr>
                <w:rStyle w:val="oneUserDefinedStyle"/>
              </w:rPr>
              <w:t xml:space="preserve">50%</w:t>
            </w:r>
          </w:p>
        </w:tc>
      </w:tr>
      <w:tr>
        <w:trPr/>
        <w:tc>
          <w:tcPr>
            <w:tcW w:w="2000" w:type="dxa"/>
            <w:vAlign w:val="center"/>
          </w:tcPr>
          <w:p>
            <w:pPr>
              <w:jc w:val="center"/>
            </w:pPr>
            <w:r>
              <w:rPr>
                <w:rStyle w:val="oneUserDefinedStyle"/>
              </w:rPr>
              <w:t xml:space="preserve">Kalibrasi</w:t>
            </w:r>
          </w:p>
        </w:tc>
        <w:tc>
          <w:tcPr>
            <w:tcW w:w="2000" w:type="dxa"/>
            <w:vAlign w:val="center"/>
          </w:tcPr>
          <w:p>
            <w:pPr>
              <w:jc w:val="center"/>
            </w:pPr>
            <w:r>
              <w:rPr>
                <w:rStyle w:val="oneUserDefinedStyle"/>
              </w:rPr>
              <w:t xml:space="preserve">1</w:t>
            </w:r>
          </w:p>
        </w:tc>
        <w:tc>
          <w:tcPr>
            <w:tcW w:w="2000" w:type="dxa"/>
            <w:vAlign w:val="center"/>
          </w:tcPr>
          <w:p>
            <w:pPr>
              <w:jc w:val="center"/>
            </w:pPr>
            <w:r>
              <w:rPr>
                <w:rStyle w:val="oneUserDefinedStyle"/>
              </w:rPr>
              <w:t xml:space="preserve">2</w:t>
            </w:r>
          </w:p>
        </w:tc>
        <w:tc>
          <w:tcPr>
            <w:tcW w:w="2000" w:type="dxa"/>
            <w:vAlign w:val="center"/>
          </w:tcPr>
          <w:p>
            <w:pPr>
              <w:jc w:val="center"/>
            </w:pPr>
            <w:r>
              <w:rPr>
                <w:rStyle w:val="oneUserDefinedStyle"/>
              </w:rPr>
              <w:t xml:space="preserve">50%</w:t>
            </w:r>
          </w:p>
        </w:tc>
      </w:tr>
      <w:tr>
        <w:trPr/>
        <w:tc>
          <w:tcPr>
            <w:tcW w:w="2000" w:type="dxa"/>
            <w:vAlign w:val="center"/>
          </w:tcPr>
          <w:p>
            <w:pPr>
              <w:jc w:val="center"/>
            </w:pPr>
            <w:r>
              <w:rPr>
                <w:rStyle w:val="oneUserDefinedStyle"/>
              </w:rPr>
              <w:t xml:space="preserve">Training</w:t>
            </w:r>
          </w:p>
        </w:tc>
        <w:tc>
          <w:tcPr>
            <w:tcW w:w="2000" w:type="dxa"/>
            <w:vAlign w:val="center"/>
          </w:tcPr>
          <w:p>
            <w:pPr>
              <w:jc w:val="center"/>
            </w:pPr>
            <w:r>
              <w:rPr>
                <w:rStyle w:val="oneUserDefinedStyle"/>
              </w:rPr>
              <w:t xml:space="preserve">0</w:t>
            </w:r>
          </w:p>
        </w:tc>
        <w:tc>
          <w:tcPr>
            <w:tcW w:w="2000" w:type="dxa"/>
            <w:vAlign w:val="center"/>
          </w:tcPr>
          <w:p>
            <w:pPr>
              <w:jc w:val="center"/>
            </w:pPr>
            <w:r>
              <w:rPr>
                <w:rStyle w:val="oneUserDefinedStyle"/>
              </w:rPr>
              <w:t xml:space="preserve">0</w:t>
            </w:r>
          </w:p>
        </w:tc>
        <w:tc>
          <w:tcPr>
            <w:tcW w:w="2000" w:type="dxa"/>
            <w:vAlign w:val="center"/>
          </w:tcPr>
          <w:p>
            <w:pPr>
              <w:jc w:val="center"/>
            </w:pPr>
            <w:r>
              <w:rPr>
                <w:rStyle w:val="oneUserDefinedStyle"/>
              </w:rPr>
              <w:t xml:space="preserve">0%</w:t>
            </w:r>
          </w:p>
        </w:tc>
      </w:tr>
    </w:tbl>
    <w:p/>
    <w:p>
      <w:pPr>
        <w:numPr>
          <w:ilvl w:val="2"/>
          <w:numId w:val="8"/>
        </w:numPr>
      </w:pPr>
      <w:r>
        <w:rPr/>
        <w:t xml:space="preserve">Preventive Maintenance</w:t>
      </w:r>
    </w:p>
    <w:p>
      <w:pPr>
        <w:pStyle w:val="pStyle"/>
      </w:pPr>
      <w:r>
        <w:rPr>
          <w:rStyle w:val="oneUserDefinedStyle"/>
        </w:rPr>
        <w:t xml:space="preserve">Pada periode tersebut tercatat 2 kegiatan Preventive Maintenance Peralatan Medik yang telah terlaksana dari 5 jadwal kegiatan Preventive Maintenance yang telah di rencanakan.</w:t>
      </w:r>
    </w:p>
    <w:p>
      <w:pPr>
        <w:pStyle w:val="pStyle"/>
      </w:pPr>
      <w:r>
        <w:rPr>
          <w:rStyle w:val="oneUserDefinedStyle"/>
        </w:rPr>
        <w:t xml:space="preserve">Pencapaian pelaksanaan kegiatan Preventive Maintenance adalah sebesar 40%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1 kegiatan Service Peralatan Medik yang telah terlaksana dari 2 jadwal kegiatan Service yang telah di rencanakan.</w:t>
      </w:r>
    </w:p>
    <w:p>
      <w:pPr>
        <w:pStyle w:val="pStyle"/>
      </w:pPr>
      <w:r>
        <w:rPr>
          <w:rStyle w:val="oneUserDefinedStyle"/>
        </w:rPr>
        <w:t xml:space="preserve">Pencapaian pelaksanaan kegiatan Service adalah sebesar 50%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1 kegiatan kalibrasi Peralatan Medik yang terlaksana dari 2 jadwal kegiatan Kalibrasi yang telah di rencanakan.</w:t>
      </w:r>
    </w:p>
    <w:p>
      <w:pPr>
        <w:pStyle w:val="pStyle"/>
      </w:pPr>
      <w:r>
        <w:rPr>
          <w:rStyle w:val="oneUserDefinedStyle"/>
        </w:rPr>
        <w:t xml:space="preserve">Pencapaian pelaksanaan kegiatan Kalibrasi adalah sebesar 50%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1684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tbl>
      <w:tblGrid>
        <w:gridCol w:w="4000" w:type="dxa"/>
        <w:gridCol w:w="2000" w:type="dxa"/>
      </w:tblGrid>
      <w:tblPr>
        <w:tblStyle w:val="Inventory Table"/>
      </w:tblPr>
      <w:tr>
        <w:trPr/>
        <w:tc>
          <w:tcPr>
            <w:tcW w:w="4000" w:type="dxa"/>
            <w:vAlign w:val="center"/>
          </w:tcPr>
          <w:p>
            <w:pPr>
              <w:jc w:val="center"/>
            </w:pPr>
            <w:r>
              <w:rPr>
                <w:b w:val="1"/>
                <w:bCs w:val="1"/>
              </w:rPr>
              <w:t xml:space="preserve">Deskripsi</w:t>
            </w:r>
          </w:p>
        </w:tc>
        <w:tc>
          <w:tcPr>
            <w:tcW w:w="2000" w:type="dxa"/>
            <w:vAlign w:val="center"/>
          </w:tcPr>
          <w:p>
            <w:pPr>
              <w:jc w:val="center"/>
            </w:pPr>
            <w:r>
              <w:rPr>
                <w:b w:val="1"/>
                <w:bCs w:val="1"/>
              </w:rPr>
              <w:t xml:space="preserve">Jumlah</w:t>
            </w:r>
          </w:p>
        </w:tc>
      </w:tr>
      <w:tr>
        <w:trPr/>
        <w:tc>
          <w:tcPr>
            <w:tcW w:w="4000" w:type="dxa"/>
            <w:vAlign w:val="center"/>
          </w:tcPr>
          <w:p>
            <w:pPr>
              <w:jc w:val="center"/>
            </w:pPr>
            <w:r>
              <w:rPr>
                <w:rStyle w:val="oneUserDefinedStyle"/>
              </w:rPr>
              <w:t xml:space="preserve">Alat kesehatan</w:t>
            </w:r>
          </w:p>
        </w:tc>
        <w:tc>
          <w:tcPr>
            <w:tcW w:w="2000" w:type="dxa"/>
            <w:vAlign w:val="center"/>
          </w:tcPr>
          <w:p>
            <w:pPr>
              <w:jc w:val="center"/>
            </w:pPr>
            <w:r>
              <w:rPr>
                <w:rStyle w:val="oneUserDefinedStyle"/>
              </w:rPr>
              <w:t xml:space="preserve">1683 unit</w:t>
            </w:r>
          </w:p>
        </w:tc>
      </w:tr>
      <w:tr>
        <w:trPr/>
        <w:tc>
          <w:tcPr>
            <w:tcW w:w="4000" w:type="dxa"/>
            <w:vAlign w:val="center"/>
          </w:tcPr>
          <w:p>
            <w:pPr>
              <w:jc w:val="center"/>
            </w:pPr>
            <w:r>
              <w:rPr>
                <w:rStyle w:val="oneUserDefinedStyle"/>
              </w:rPr>
              <w:t xml:space="preserve">Non alat kesehatan</w:t>
            </w:r>
          </w:p>
        </w:tc>
        <w:tc>
          <w:tcPr>
            <w:tcW w:w="2000" w:type="dxa"/>
            <w:vAlign w:val="center"/>
          </w:tcPr>
          <w:p>
            <w:pPr>
              <w:jc w:val="center"/>
            </w:pPr>
            <w:r>
              <w:rPr>
                <w:rStyle w:val="oneUserDefinedStyle"/>
              </w:rPr>
              <w:t xml:space="preserve">1 unit</w:t>
            </w:r>
          </w:p>
        </w:tc>
      </w:tr>
      <w:tr>
        <w:trPr/>
        <w:tc>
          <w:tcPr>
            <w:tcW w:w="4000" w:type="dxa"/>
            <w:vAlign w:val="center"/>
          </w:tcPr>
          <w:p>
            <w:pPr>
              <w:jc w:val="center"/>
            </w:pPr>
            <w:r>
              <w:rPr>
                <w:b w:val="1"/>
                <w:bCs w:val="1"/>
              </w:rPr>
              <w:t xml:space="preserve">Total</w:t>
            </w:r>
          </w:p>
        </w:tc>
        <w:tc>
          <w:tcPr>
            <w:tcW w:w="2000" w:type="dxa"/>
            <w:vAlign w:val="center"/>
          </w:tcPr>
          <w:p>
            <w:pPr>
              <w:jc w:val="center"/>
            </w:pPr>
            <w:r>
              <w:rPr>
                <w:b w:val="1"/>
                <w:bCs w:val="1"/>
              </w:rPr>
              <w:t xml:space="preserve">1684 unit</w:t>
            </w:r>
          </w:p>
        </w:tc>
      </w:tr>
    </w:tbl>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tbl>
      <w:tblGrid>
        <w:gridCol w:w="4000" w:type="dxa"/>
        <w:gridCol w:w="3000" w:type="dxa"/>
      </w:tblGrid>
      <w:tblPr>
        <w:tblStyle w:val="Asset Table"/>
      </w:tblPr>
      <w:tr>
        <w:trPr/>
        <w:tc>
          <w:tcPr>
            <w:tcW w:w="4000" w:type="dxa"/>
            <w:vAlign w:val="center"/>
          </w:tcPr>
          <w:p>
            <w:pPr>
              <w:jc w:val="center"/>
            </w:pPr>
            <w:r>
              <w:rPr>
                <w:b w:val="1"/>
                <w:bCs w:val="1"/>
              </w:rPr>
              <w:t xml:space="preserve">Deskripsi</w:t>
            </w:r>
          </w:p>
        </w:tc>
        <w:tc>
          <w:tcPr>
            <w:tcW w:w="3000" w:type="dxa"/>
            <w:vAlign w:val="center"/>
          </w:tcPr>
          <w:p>
            <w:pPr>
              <w:jc w:val="center"/>
            </w:pPr>
            <w:r>
              <w:rPr>
                <w:b w:val="1"/>
                <w:bCs w:val="1"/>
              </w:rPr>
              <w:t xml:space="preserve">Nilai Asset</w:t>
            </w:r>
          </w:p>
        </w:tc>
      </w:tr>
      <w:tr>
        <w:trPr/>
        <w:tc>
          <w:tcPr>
            <w:tcW w:w="4000" w:type="dxa"/>
            <w:vAlign w:val="center"/>
          </w:tcPr>
          <w:p>
            <w:pPr>
              <w:jc w:val="center"/>
            </w:pPr>
            <w:r>
              <w:rPr>
                <w:rStyle w:val="oneUserDefinedStyle"/>
              </w:rPr>
              <w:t xml:space="preserve">Alat kesehatan</w:t>
            </w:r>
          </w:p>
        </w:tc>
        <w:tc>
          <w:tcPr>
            <w:tcW w:w="3000" w:type="dxa"/>
            <w:vAlign w:val="center"/>
          </w:tcPr>
          <w:p>
            <w:pPr>
              <w:jc w:val="center"/>
            </w:pPr>
            <w:r>
              <w:rPr>
                <w:rStyle w:val="oneUserDefinedStyle"/>
              </w:rPr>
              <w:t xml:space="preserve">Rp 21.163.331,00</w:t>
            </w:r>
          </w:p>
        </w:tc>
      </w:tr>
      <w:tr>
        <w:trPr/>
        <w:tc>
          <w:tcPr>
            <w:tcW w:w="4000" w:type="dxa"/>
            <w:vAlign w:val="center"/>
          </w:tcPr>
          <w:p>
            <w:pPr>
              <w:jc w:val="center"/>
            </w:pPr>
            <w:r>
              <w:rPr>
                <w:rStyle w:val="oneUserDefinedStyle"/>
              </w:rPr>
              <w:t xml:space="preserve">Non alat kesehatan</w:t>
            </w:r>
          </w:p>
        </w:tc>
        <w:tc>
          <w:tcPr>
            <w:tcW w:w="3000" w:type="dxa"/>
            <w:vAlign w:val="center"/>
          </w:tcPr>
          <w:p>
            <w:pPr>
              <w:jc w:val="center"/>
            </w:pPr>
            <w:r>
              <w:rPr>
                <w:rStyle w:val="oneUserDefinedStyle"/>
              </w:rPr>
              <w:t xml:space="preserve">Rp 97.500,00</w:t>
            </w:r>
          </w:p>
        </w:tc>
      </w:tr>
      <w:tr>
        <w:trPr/>
        <w:tc>
          <w:tcPr>
            <w:tcW w:w="4000" w:type="dxa"/>
            <w:vAlign w:val="center"/>
          </w:tcPr>
          <w:p>
            <w:pPr>
              <w:jc w:val="center"/>
            </w:pPr>
            <w:r>
              <w:rPr>
                <w:rStyle w:val="oneUserDefinedStyle"/>
              </w:rPr>
              <w:t xml:space="preserve">Alat kesehatan</w:t>
            </w:r>
          </w:p>
        </w:tc>
        <w:tc>
          <w:tcPr>
            <w:tcW w:w="3000" w:type="dxa"/>
            <w:vAlign w:val="center"/>
          </w:tcPr>
          <w:p>
            <w:pPr>
              <w:jc w:val="center"/>
            </w:pPr>
            <w:r>
              <w:rPr>
                <w:rStyle w:val="oneUserDefinedStyle"/>
              </w:rPr>
              <w:t xml:space="preserve">Rp 658.667,00</w:t>
            </w:r>
          </w:p>
        </w:tc>
      </w:tr>
      <w:tr>
        <w:trPr/>
        <w:tc>
          <w:tcPr>
            <w:tcW w:w="4000" w:type="dxa"/>
            <w:vAlign w:val="center"/>
          </w:tcPr>
          <w:p>
            <w:pPr>
              <w:jc w:val="center"/>
            </w:pPr>
            <w:r>
              <w:rPr>
                <w:b w:val="1"/>
                <w:bCs w:val="1"/>
              </w:rPr>
              <w:t xml:space="preserve">Total Aset</w:t>
            </w:r>
          </w:p>
        </w:tc>
        <w:tc>
          <w:tcPr>
            <w:tcW w:w="3000" w:type="dxa"/>
            <w:vAlign w:val="center"/>
          </w:tcPr>
          <w:p>
            <w:pPr>
              <w:jc w:val="center"/>
            </w:pPr>
            <w:r>
              <w:rPr>
                <w:b w:val="1"/>
                <w:bCs w:val="1"/>
              </w:rPr>
              <w:t xml:space="preserve">1684 units</w:t>
            </w:r>
          </w:p>
        </w:tc>
      </w:tr>
      <w:tr>
        <w:trPr/>
        <w:tc>
          <w:tcPr>
            <w:tcW w:w="4000" w:type="dxa"/>
            <w:vAlign w:val="center"/>
          </w:tcPr>
          <w:p>
            <w:pPr>
              <w:jc w:val="center"/>
            </w:pPr>
            <w:r>
              <w:rPr>
                <w:b w:val="1"/>
                <w:bCs w:val="1"/>
              </w:rPr>
              <w:t xml:space="preserve">Total Nilai Asset</w:t>
            </w:r>
          </w:p>
        </w:tc>
        <w:tc>
          <w:tcPr>
            <w:tcW w:w="3000" w:type="dxa"/>
            <w:vAlign w:val="center"/>
          </w:tcPr>
          <w:p>
            <w:pPr>
              <w:jc w:val="center"/>
            </w:pPr>
            <w:r>
              <w:rPr>
                <w:b w:val="1"/>
                <w:bCs w:val="1"/>
              </w:rPr>
              <w:t xml:space="preserve">Rp 21.919.498,00</w:t>
            </w:r>
          </w:p>
        </w:tc>
      </w:tr>
    </w:tbl>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2.100.000,00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tbl>
      <w:tblGrid>
        <w:gridCol w:w="3000" w:type="dxa"/>
        <w:gridCol w:w="3000" w:type="dxa"/>
      </w:tblGrid>
      <w:tblPr>
        <w:tblStyle w:val="Expenses Table"/>
      </w:tblPr>
      <w:tr>
        <w:trPr/>
        <w:tc>
          <w:tcPr>
            <w:tcW w:w="3000" w:type="dxa"/>
            <w:vAlign w:val="center"/>
          </w:tcPr>
          <w:p>
            <w:pPr>
              <w:jc w:val="center"/>
            </w:pPr>
            <w:r>
              <w:rPr>
                <w:b w:val="1"/>
                <w:bCs w:val="1"/>
              </w:rPr>
              <w:t xml:space="preserve">Deskripsi</w:t>
            </w:r>
          </w:p>
        </w:tc>
        <w:tc>
          <w:tcPr>
            <w:tcW w:w="3000" w:type="dxa"/>
            <w:vAlign w:val="center"/>
          </w:tcPr>
          <w:p>
            <w:pPr>
              <w:jc w:val="center"/>
            </w:pPr>
            <w:r>
              <w:rPr>
                <w:b w:val="1"/>
                <w:bCs w:val="1"/>
              </w:rPr>
              <w:t xml:space="preserve">Jumlah Biaya</w:t>
            </w:r>
          </w:p>
        </w:tc>
      </w:tr>
      <w:tr>
        <w:trPr/>
        <w:tc>
          <w:tcPr>
            <w:tcW w:w="3000" w:type="dxa"/>
            <w:vAlign w:val="center"/>
          </w:tcPr>
          <w:p>
            <w:pPr>
              <w:jc w:val="center"/>
            </w:pPr>
            <w:r>
              <w:rPr>
                <w:rStyle w:val="oneUserDefinedStyle"/>
              </w:rPr>
              <w:t xml:space="preserve">Biaya Service</w:t>
            </w:r>
          </w:p>
        </w:tc>
        <w:tc>
          <w:tcPr>
            <w:tcW w:w="3000" w:type="dxa"/>
            <w:vAlign w:val="center"/>
          </w:tcPr>
          <w:p>
            <w:pPr>
              <w:jc w:val="center"/>
            </w:pPr>
            <w:r>
              <w:rPr>
                <w:rStyle w:val="oneUserDefinedStyle"/>
              </w:rPr>
              <w:t xml:space="preserve">Rp 0,00</w:t>
            </w:r>
          </w:p>
        </w:tc>
      </w:tr>
      <w:tr>
        <w:trPr/>
        <w:tc>
          <w:tcPr>
            <w:tcW w:w="3000" w:type="dxa"/>
            <w:vAlign w:val="center"/>
          </w:tcPr>
          <w:p>
            <w:pPr>
              <w:jc w:val="center"/>
            </w:pPr>
            <w:r>
              <w:rPr>
                <w:rStyle w:val="oneUserDefinedStyle"/>
              </w:rPr>
              <w:t xml:space="preserve">Biaya Kalibrasi</w:t>
            </w:r>
          </w:p>
        </w:tc>
        <w:tc>
          <w:tcPr>
            <w:tcW w:w="3000" w:type="dxa"/>
            <w:vAlign w:val="center"/>
          </w:tcPr>
          <w:p>
            <w:pPr>
              <w:jc w:val="center"/>
            </w:pPr>
            <w:r>
              <w:rPr>
                <w:rStyle w:val="oneUserDefinedStyle"/>
              </w:rPr>
              <w:t xml:space="preserve">Rp 10.000,00</w:t>
            </w:r>
          </w:p>
        </w:tc>
      </w:tr>
      <w:tr>
        <w:trPr/>
        <w:tc>
          <w:tcPr>
            <w:tcW w:w="3000" w:type="dxa"/>
            <w:vAlign w:val="center"/>
          </w:tcPr>
          <w:p>
            <w:pPr>
              <w:jc w:val="center"/>
            </w:pPr>
            <w:r>
              <w:rPr>
                <w:rStyle w:val="oneUserDefinedStyle"/>
              </w:rPr>
              <w:t xml:space="preserve">Biaya Penggantian Sparepart dan Aksesoris</w:t>
            </w:r>
          </w:p>
        </w:tc>
        <w:tc>
          <w:tcPr>
            <w:tcW w:w="3000" w:type="dxa"/>
            <w:vAlign w:val="center"/>
          </w:tcPr>
          <w:p>
            <w:pPr>
              <w:jc w:val="center"/>
            </w:pPr>
            <w:r>
              <w:rPr>
                <w:rStyle w:val="oneUserDefinedStyle"/>
              </w:rPr>
              <w:t xml:space="preserve">Rp 200.000,00</w:t>
            </w:r>
          </w:p>
        </w:tc>
      </w:tr>
      <w:tr>
        <w:trPr/>
        <w:tc>
          <w:tcPr>
            <w:tcW w:w="3000" w:type="dxa"/>
            <w:vAlign w:val="center"/>
          </w:tcPr>
          <w:p>
            <w:pPr>
              <w:jc w:val="center"/>
            </w:pPr>
            <w:r>
              <w:rPr>
                <w:b w:val="1"/>
                <w:bCs w:val="1"/>
              </w:rPr>
              <w:t xml:space="preserve">Total</w:t>
            </w:r>
          </w:p>
        </w:tc>
        <w:tc>
          <w:tcPr>
            <w:tcW w:w="3000" w:type="dxa"/>
            <w:vAlign w:val="center"/>
          </w:tcPr>
          <w:p>
            <w:pPr>
              <w:jc w:val="center"/>
            </w:pPr>
            <w:r>
              <w:rPr>
                <w:b w:val="1"/>
                <w:bCs w:val="1"/>
              </w:rPr>
              <w:t xml:space="preserve">Rp 210.000,00</w:t>
            </w:r>
          </w:p>
        </w:tc>
      </w:tr>
    </w:tbl>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penting peralatan, seperti user manual, service manual, sop, service report, tanda terima dan lain lain ataupun menyimpan foto-foto peralatan. Untuk menyimpan dan mengunduh dokumen dapat di lakukan pada menu peralatan.</w:t>
      </w:r>
    </w:p>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Marsweb menyajikan General Report dengan template sederhana dalam bentuk file microsoft word sehingga template yang di sajikan dapat dengan mudah di lakukan penambahan data-data yang belum tercatat di dalam aplikasi.</w:t>
      </w:r>
    </w:p>
    <w:p>
      <w:pPr>
        <w:pStyle w:val="pStyle"/>
      </w:pPr>
      <w:r>
        <w:rPr>
          <w:rStyle w:val="oneUserDefinedStyle"/>
        </w:rPr>
        <w:t xml:space="preserve">            Format general report yang di sajikan merupakan ringkasan dari semua kegiatan yang tercatat di dalam aplikasi marsweb.</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Dari statistik yang tercatat selama periode 01 April 2024 sampai dengan 30 April 2024, dapat dilaporkan bahwa:</w:t>
      </w:r>
    </w:p>
    <w:p>
      <w:pPr>
        <w:pStyle w:val="pStyle"/>
      </w:pPr>
      <w:r>
        <w:rPr>
          <w:rStyle w:val="oneUserDefinedStyle"/>
        </w:rPr>
        <w:t xml:space="preserve">1. Program Inspection Preventive Maintenance (IPM) telah terlaksana dengan presentase 40% dari program preventive maintenance yang telah di jadwalkan.</w:t>
      </w:r>
    </w:p>
    <w:p>
      <w:pPr>
        <w:pStyle w:val="pStyle"/>
      </w:pPr>
      <w:r>
        <w:rPr>
          <w:rStyle w:val="oneUserDefinedStyle"/>
        </w:rPr>
        <w:t xml:space="preserve">2. Program service telah terlaksana dengan presentase 50% dari program service yang telah di jadwalkan.</w:t>
      </w:r>
    </w:p>
    <w:p>
      <w:pPr>
        <w:pStyle w:val="pStyle"/>
      </w:pPr>
      <w:r>
        <w:rPr>
          <w:rStyle w:val="oneUserDefinedStyle"/>
        </w:rPr>
        <w:t xml:space="preserve">3. Program kalibrasi telah terlaksana dengan presentase 50% dari program kalibrasi yang telah di jadwalkan.</w:t>
      </w:r>
    </w:p>
    <w:p>
      <w:pPr>
        <w:pStyle w:val="pStyle"/>
      </w:pPr>
      <w:r>
        <w:rPr>
          <w:rStyle w:val="oneUserDefinedStyle"/>
        </w:rPr>
        <w:t xml:space="preserve">4. Program training telah terlaksana dengan presentase 0% dari program training yang telah di jadwalkan.</w:t>
      </w:r>
    </w:p>
    <w:p>
      <w:pPr>
        <w:pStyle w:val="pStyle"/>
      </w:pPr>
      <w:r>
        <w:rPr>
          <w:rStyle w:val="oneUserDefinedStyle"/>
        </w:rPr>
        <w:t xml:space="preserve">5. Secara keseluruhan program kegiatan yang telah di tetapkan selama masa periode berjalan rata-rata tercapai 44.444444444444 %.</w:t>
      </w:r>
    </w:p>
    <w:p>
      <w:pPr>
        <w:pStyle w:val="pStyle"/>
      </w:pPr>
      <w:r>
        <w:rPr>
          <w:rStyle w:val="oneUserDefinedStyle"/>
        </w:rPr>
        <w:t xml:space="preserve">6. Sesuai hasil catatan di dalam marsweb ini, tercatat biaya biaya maintenance, service, kalibrasi dan penggantian part/ asessoris dalam pelaksanaan work order sebesar Rp 210.000,00, merupakan 0.96% dari Total Asset yang di miliki oleh rumah sakit sebesar Rp 21.919.498,00</w:t>
      </w:r>
    </w:p>
    <w:p/>
    <w:p/>
    <w:p>
      <w:pPr/>
      <w:r>
        <w:rPr/>
        <w:t xml:space="preserve">                                                                                                                      Jakarta, 11 September 2024</w:t>
      </w:r>
    </w:p>
    <w:p>
      <w:pPr/>
      <w:r>
        <w:rPr/>
        <w:t xml:space="preserve">                                                                                                                RSUD Abdul Wahab Sjahranie</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683BEEB9"/>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 w:type="table" w:customStyle="1" w:styleId="IPM Table">
    <w:name w:val="IPM Table"/>
    <w:uiPriority w:val="99"/>
    <w:tblPr>
      <w:tblW w:w="0" w:type="auto"/>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table" w:customStyle="1" w:styleId="Inventory Table">
    <w:name w:val="Inventory Table"/>
    <w:uiPriority w:val="99"/>
    <w:tblPr>
      <w:tblW w:w="0" w:type="auto"/>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table" w:customStyle="1" w:styleId="Asset Table">
    <w:name w:val="Asset Table"/>
    <w:uiPriority w:val="99"/>
    <w:tblPr>
      <w:tblW w:w="0" w:type="auto"/>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table" w:customStyle="1" w:styleId="Expenses Table">
    <w:name w:val="Expenses Table"/>
    <w:uiPriority w:val="99"/>
    <w:tblPr>
      <w:tblW w:w="0" w:type="auto"/>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2024-09-11T14:21:12+07:00</dcterms:created>
  <dcterms:modified xsi:type="dcterms:W3CDTF">2024-09-11T14:21:12+07:00</dcterms:modified>
</cp:coreProperties>
</file>

<file path=docProps/custom.xml><?xml version="1.0" encoding="utf-8"?>
<Properties xmlns="http://schemas.openxmlformats.org/officeDocument/2006/custom-properties" xmlns:vt="http://schemas.openxmlformats.org/officeDocument/2006/docPropsVTypes"/>
</file>