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6D7" w14:textId="3BC93087" w:rsidR="00732D48" w:rsidRPr="009A7E6E" w:rsidRDefault="00AB7157" w:rsidP="00EB0955">
      <w:pPr>
        <w:jc w:val="center"/>
        <w:rPr>
          <w:b/>
          <w:bCs/>
          <w:sz w:val="24"/>
          <w:szCs w:val="24"/>
        </w:rPr>
      </w:pPr>
      <w:r w:rsidRPr="009A7E6E">
        <w:rPr>
          <w:b/>
          <w:bCs/>
          <w:sz w:val="24"/>
          <w:szCs w:val="24"/>
        </w:rPr>
        <w:t>F</w:t>
      </w:r>
      <w:r w:rsidR="00B81842" w:rsidRPr="009A7E6E">
        <w:rPr>
          <w:b/>
          <w:bCs/>
          <w:sz w:val="24"/>
          <w:szCs w:val="24"/>
        </w:rPr>
        <w:t>orecast</w:t>
      </w:r>
      <w:r w:rsidR="00EB0955" w:rsidRPr="009A7E6E">
        <w:rPr>
          <w:b/>
          <w:bCs/>
          <w:sz w:val="24"/>
          <w:szCs w:val="24"/>
        </w:rPr>
        <w:t xml:space="preserve"> approach</w:t>
      </w:r>
    </w:p>
    <w:p w14:paraId="7506A793" w14:textId="358F5A40" w:rsidR="00B81842" w:rsidRPr="009A7E6E" w:rsidRDefault="00B81842" w:rsidP="00EB0955">
      <w:pPr>
        <w:jc w:val="both"/>
        <w:rPr>
          <w:b/>
          <w:bCs/>
          <w:sz w:val="24"/>
          <w:szCs w:val="24"/>
        </w:rPr>
      </w:pPr>
      <w:r w:rsidRPr="009A7E6E">
        <w:rPr>
          <w:b/>
          <w:bCs/>
          <w:sz w:val="24"/>
          <w:szCs w:val="24"/>
        </w:rPr>
        <w:t>Data:</w:t>
      </w:r>
    </w:p>
    <w:p w14:paraId="57860DBC" w14:textId="0F5A4F9A" w:rsidR="00B81842" w:rsidRPr="009A7E6E" w:rsidRDefault="00B81842" w:rsidP="00EB0955">
      <w:pPr>
        <w:jc w:val="both"/>
      </w:pPr>
      <w:r w:rsidRPr="009A7E6E">
        <w:t xml:space="preserve">We used yearly data from 2000 to 2020 for current revenue data for the series of total revenues and grants, recurrent revenue, tax revenue, income and profits, taxes on goods and services, non-tax revenue, licenses, royalties, government ministries and repayment of old loans. On the expenditure side we have </w:t>
      </w:r>
      <w:r w:rsidR="00D76548" w:rsidRPr="009A7E6E">
        <w:t xml:space="preserve">current prices </w:t>
      </w:r>
      <w:r w:rsidRPr="009A7E6E">
        <w:t xml:space="preserve">data from 2001 to 2021 on the series of total expenditure, total recurrent expenditure, personal emoluments, pensions and ex gratia, goods and services, and debt service interest. </w:t>
      </w:r>
    </w:p>
    <w:p w14:paraId="78CB474A" w14:textId="3057808A" w:rsidR="00D76548" w:rsidRPr="009A7E6E" w:rsidRDefault="00B81842" w:rsidP="00EB0955">
      <w:pPr>
        <w:jc w:val="both"/>
      </w:pPr>
      <w:r w:rsidRPr="009A7E6E">
        <w:t>As the</w:t>
      </w:r>
      <w:r w:rsidR="00D76548" w:rsidRPr="009A7E6E">
        <w:t xml:space="preserve"> expenditure in</w:t>
      </w:r>
      <w:r w:rsidRPr="009A7E6E">
        <w:t xml:space="preserve"> goods and services series started including the subsidies and transfers data</w:t>
      </w:r>
      <w:r w:rsidR="00D76548" w:rsidRPr="009A7E6E">
        <w:t xml:space="preserve"> from 2012 on</w:t>
      </w:r>
      <w:r w:rsidRPr="009A7E6E">
        <w:t>, we opted to sum these series values as to only account for one series of goods and services</w:t>
      </w:r>
      <w:r w:rsidR="00D76548" w:rsidRPr="009A7E6E">
        <w:t xml:space="preserve"> which now includes both goods and services and subsidies and current transfers. </w:t>
      </w:r>
      <w:r w:rsidR="00EB0955" w:rsidRPr="009A7E6E">
        <w:t>D</w:t>
      </w:r>
      <w:r w:rsidR="00D76548" w:rsidRPr="009A7E6E">
        <w:t>ata for revenue was obtained from the executed fiscal data of Belize while for expenditures we used budgeted fiscal data.</w:t>
      </w:r>
    </w:p>
    <w:p w14:paraId="27EAEB47" w14:textId="59E069C7" w:rsidR="00AB7157" w:rsidRPr="009A7E6E" w:rsidRDefault="00AB7157" w:rsidP="00EB0955">
      <w:pPr>
        <w:jc w:val="both"/>
      </w:pPr>
      <w:r w:rsidRPr="009A7E6E">
        <w:t xml:space="preserve">Regarding quarterly </w:t>
      </w:r>
      <w:r w:rsidR="001B470B" w:rsidRPr="009A7E6E">
        <w:t>data, we have</w:t>
      </w:r>
      <w:r w:rsidR="00DE2BEB" w:rsidRPr="009A7E6E">
        <w:t xml:space="preserve"> 90 observations </w:t>
      </w:r>
      <w:r w:rsidR="00817D6F" w:rsidRPr="009A7E6E">
        <w:t xml:space="preserve">from </w:t>
      </w:r>
      <w:r w:rsidR="00DF7F24" w:rsidRPr="009A7E6E">
        <w:t xml:space="preserve">the </w:t>
      </w:r>
      <w:r w:rsidR="00817D6F" w:rsidRPr="009A7E6E">
        <w:t xml:space="preserve">first quarter of 2000 to the second quarter </w:t>
      </w:r>
      <w:r w:rsidR="00EB11AA" w:rsidRPr="009A7E6E">
        <w:t>of 2022</w:t>
      </w:r>
      <w:r w:rsidR="00320205" w:rsidRPr="009A7E6E">
        <w:t xml:space="preserve"> on current revenue, total revenue and grants, current</w:t>
      </w:r>
      <w:r w:rsidR="00F7164F" w:rsidRPr="009A7E6E">
        <w:t xml:space="preserve"> </w:t>
      </w:r>
      <w:r w:rsidR="001A0AD6" w:rsidRPr="009A7E6E">
        <w:t>expenditure,</w:t>
      </w:r>
      <w:r w:rsidR="00E638A2" w:rsidRPr="009A7E6E">
        <w:t xml:space="preserve"> and t</w:t>
      </w:r>
      <w:r w:rsidR="00320205" w:rsidRPr="009A7E6E">
        <w:t xml:space="preserve">otal </w:t>
      </w:r>
      <w:r w:rsidR="00E638A2" w:rsidRPr="009A7E6E">
        <w:t xml:space="preserve">expenditure. All series are on constant prices with base </w:t>
      </w:r>
      <w:r w:rsidR="001A0AD6" w:rsidRPr="009A7E6E">
        <w:t xml:space="preserve">the first quarter of 2000, including </w:t>
      </w:r>
      <w:proofErr w:type="spellStart"/>
      <w:r w:rsidR="001A0AD6" w:rsidRPr="009A7E6E">
        <w:t>GDp</w:t>
      </w:r>
      <w:proofErr w:type="spellEnd"/>
      <w:r w:rsidR="001A0AD6" w:rsidRPr="009A7E6E">
        <w:t xml:space="preserve">. </w:t>
      </w:r>
    </w:p>
    <w:p w14:paraId="1A5A7045" w14:textId="77777777" w:rsidR="003B3EB6" w:rsidRPr="009A7E6E" w:rsidRDefault="003B3EB6" w:rsidP="00EB0955">
      <w:pPr>
        <w:jc w:val="both"/>
      </w:pPr>
    </w:p>
    <w:p w14:paraId="44B299F9" w14:textId="12C9D062" w:rsidR="00D76548" w:rsidRPr="009A7E6E" w:rsidRDefault="00D76548" w:rsidP="00EB0955">
      <w:pPr>
        <w:jc w:val="both"/>
        <w:rPr>
          <w:b/>
          <w:bCs/>
          <w:sz w:val="28"/>
          <w:szCs w:val="28"/>
        </w:rPr>
      </w:pPr>
    </w:p>
    <w:p w14:paraId="634BFACB" w14:textId="16AC8E21" w:rsidR="00D76548" w:rsidRPr="009A7E6E" w:rsidRDefault="00D76548" w:rsidP="00EB0955">
      <w:pPr>
        <w:jc w:val="both"/>
        <w:rPr>
          <w:b/>
          <w:bCs/>
          <w:sz w:val="24"/>
          <w:szCs w:val="24"/>
        </w:rPr>
      </w:pPr>
      <w:r w:rsidRPr="009A7E6E">
        <w:rPr>
          <w:b/>
          <w:bCs/>
          <w:sz w:val="24"/>
          <w:szCs w:val="24"/>
        </w:rPr>
        <w:t>Methodology:</w:t>
      </w:r>
    </w:p>
    <w:p w14:paraId="74D550E4" w14:textId="67FED0F0" w:rsidR="00D76548" w:rsidRPr="009A7E6E" w:rsidRDefault="00D76548" w:rsidP="00EB0955">
      <w:pPr>
        <w:jc w:val="both"/>
      </w:pPr>
      <w:r w:rsidRPr="009A7E6E">
        <w:t>The methodological approach was that of VAR and VEC</w:t>
      </w:r>
      <w:r w:rsidR="009F797C" w:rsidRPr="009A7E6E">
        <w:t xml:space="preserve"> models</w:t>
      </w:r>
      <w:r w:rsidRPr="009A7E6E">
        <w:t xml:space="preserve"> forecasting, which means that the forecast was performed using more than one series. In this case each forecast was performed with a pair composed of one of the available </w:t>
      </w:r>
      <w:r w:rsidR="009F797C" w:rsidRPr="009A7E6E">
        <w:t>series</w:t>
      </w:r>
      <w:r w:rsidRPr="009A7E6E">
        <w:t xml:space="preserve"> with the corresponding Belize yearly GDP. </w:t>
      </w:r>
    </w:p>
    <w:p w14:paraId="2571CF21" w14:textId="5D91A608" w:rsidR="00D76548" w:rsidRPr="009A7E6E" w:rsidRDefault="00D76548" w:rsidP="00EB0955">
      <w:pPr>
        <w:jc w:val="both"/>
      </w:pPr>
      <w:r w:rsidRPr="009A7E6E">
        <w:t xml:space="preserve">First, we transform each pair of series to logarithms and evaluate for unitary root presence via the Augmented Dickey-Fuller test in order to identify the integration order of the series. Once the integration order of the series has been determined, we select the optimal approach based on </w:t>
      </w:r>
      <w:r w:rsidR="009F797C" w:rsidRPr="009A7E6E">
        <w:t>two</w:t>
      </w:r>
      <w:r w:rsidRPr="009A7E6E">
        <w:t xml:space="preserve"> possible scenarios. </w:t>
      </w:r>
    </w:p>
    <w:p w14:paraId="586D4281" w14:textId="14A71E2E" w:rsidR="00D76548" w:rsidRPr="009A7E6E" w:rsidRDefault="00D76548" w:rsidP="00EB0955">
      <w:pPr>
        <w:pStyle w:val="ListParagraph"/>
        <w:numPr>
          <w:ilvl w:val="0"/>
          <w:numId w:val="1"/>
        </w:numPr>
        <w:jc w:val="both"/>
        <w:rPr>
          <w:b/>
          <w:bCs/>
        </w:rPr>
      </w:pPr>
      <w:r w:rsidRPr="009A7E6E">
        <w:rPr>
          <w:b/>
          <w:bCs/>
        </w:rPr>
        <w:t xml:space="preserve">Both series are I(0) (No unitary root): </w:t>
      </w:r>
      <w:r w:rsidRPr="009A7E6E">
        <w:t>If this is the case we perform a 4-step ahead forecast for expenditures and a 5-step ahead forecast of revenues based on a VAR model</w:t>
      </w:r>
      <w:r w:rsidR="009F797C" w:rsidRPr="009A7E6E">
        <w:t xml:space="preserve"> in levels</w:t>
      </w:r>
      <w:r w:rsidRPr="009A7E6E">
        <w:t>, given that the series are stationary and therefore there is no way to account for possible cointegration.</w:t>
      </w:r>
      <w:r w:rsidR="00C94C31" w:rsidRPr="009A7E6E">
        <w:t xml:space="preserve"> The model used is:</w:t>
      </w:r>
    </w:p>
    <w:p w14:paraId="7FF16113" w14:textId="4C70D862" w:rsidR="002905FC" w:rsidRPr="009A7E6E" w:rsidRDefault="00000000" w:rsidP="001A0AD6">
      <w:pPr>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p</m:t>
              </m:r>
            </m:sub>
          </m:sSub>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t</m:t>
              </m:r>
            </m:sub>
          </m:sSub>
          <m:r>
            <m:rPr>
              <m:sty m:val="bi"/>
            </m:rPr>
            <w:rPr>
              <w:rFonts w:ascii="Cambria Math" w:hAnsi="Cambria Math"/>
            </w:rPr>
            <m:t xml:space="preserve"> ,</m:t>
          </m:r>
        </m:oMath>
      </m:oMathPara>
    </w:p>
    <w:p w14:paraId="7902C9E0" w14:textId="434E92B1" w:rsidR="00B145CD" w:rsidRPr="009A7E6E" w:rsidRDefault="00B145CD" w:rsidP="00B145CD">
      <w:pPr>
        <w:jc w:val="both"/>
        <w:rPr>
          <w:rFonts w:eastAsiaTheme="minorEastAsia"/>
        </w:rPr>
      </w:pPr>
      <w:r w:rsidRPr="009A7E6E">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9A7E6E">
        <w:rPr>
          <w:rFonts w:eastAsiaTheme="minorEastAsia"/>
        </w:rPr>
        <w:t xml:space="preserve"> is a </w:t>
      </w:r>
      <m:oMath>
        <m:r>
          <w:rPr>
            <w:rFonts w:ascii="Cambria Math" w:eastAsiaTheme="minorEastAsia" w:hAnsi="Cambria Math"/>
          </w:rPr>
          <m:t>K×1</m:t>
        </m:r>
      </m:oMath>
      <w:r w:rsidRPr="009A7E6E">
        <w:rPr>
          <w:rFonts w:eastAsiaTheme="minorEastAsia"/>
        </w:rPr>
        <w:t xml:space="preserve"> vector of endogenous variables and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9A7E6E">
        <w:rPr>
          <w:rFonts w:eastAsiaTheme="minorEastAsia"/>
        </w:rPr>
        <w:t xml:space="preserve"> assigns a spherical disturbance term of the same dimension. The coefficient matrices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sidRPr="009A7E6E">
        <w:rPr>
          <w:rFonts w:eastAsiaTheme="minorEastAsia"/>
        </w:rPr>
        <w:t xml:space="preserve">  are of dimension</w:t>
      </w:r>
      <w:r w:rsidR="009A7E6E" w:rsidRPr="009A7E6E">
        <w:rPr>
          <w:rFonts w:ascii="Cambria Math" w:eastAsiaTheme="minorEastAsia" w:hAnsi="Cambria Math"/>
          <w:i/>
        </w:rPr>
        <w:t xml:space="preserve"> </w:t>
      </w:r>
      <m:oMath>
        <m:r>
          <w:rPr>
            <w:rFonts w:ascii="Cambria Math" w:eastAsiaTheme="minorEastAsia" w:hAnsi="Cambria Math"/>
          </w:rPr>
          <m:t>K×K</m:t>
        </m:r>
      </m:oMath>
    </w:p>
    <w:p w14:paraId="6B99D7D7" w14:textId="1C5052F0" w:rsidR="002905FC" w:rsidRPr="009A7E6E" w:rsidRDefault="002905FC" w:rsidP="001A0AD6">
      <w:pPr>
        <w:jc w:val="both"/>
        <w:rPr>
          <w:rFonts w:eastAsiaTheme="minorEastAsia"/>
        </w:rPr>
      </w:pPr>
      <w:r w:rsidRPr="009A7E6E">
        <w:rPr>
          <w:rFonts w:eastAsiaTheme="minorEastAsia"/>
        </w:rPr>
        <w:t xml:space="preserve">The inclusion of deterministic trends such as constant or trend is assessed via </w:t>
      </w:r>
      <w:r w:rsidR="00CA13C8" w:rsidRPr="009A7E6E">
        <w:rPr>
          <w:rFonts w:eastAsiaTheme="minorEastAsia"/>
        </w:rPr>
        <w:t xml:space="preserve">the minimization of the AIC for each of the possible models. </w:t>
      </w:r>
    </w:p>
    <w:p w14:paraId="3F62A76E" w14:textId="1CEF176E" w:rsidR="00EB0955" w:rsidRPr="009A7E6E" w:rsidRDefault="00D76548" w:rsidP="00EB0955">
      <w:pPr>
        <w:pStyle w:val="ListParagraph"/>
        <w:numPr>
          <w:ilvl w:val="0"/>
          <w:numId w:val="1"/>
        </w:numPr>
        <w:jc w:val="both"/>
        <w:rPr>
          <w:b/>
          <w:bCs/>
        </w:rPr>
      </w:pPr>
      <w:r w:rsidRPr="009A7E6E">
        <w:rPr>
          <w:b/>
          <w:bCs/>
        </w:rPr>
        <w:lastRenderedPageBreak/>
        <w:t xml:space="preserve">Both series are I(1) (Unitary root): </w:t>
      </w:r>
      <w:r w:rsidRPr="009A7E6E">
        <w:t>Now, as both series are non-</w:t>
      </w:r>
      <w:r w:rsidR="00EB0955" w:rsidRPr="009A7E6E">
        <w:t>stationary,</w:t>
      </w:r>
      <w:r w:rsidRPr="009A7E6E">
        <w:t xml:space="preserve"> we can check for cointegration between the series, for this we used the Johansen approach through the maximum eigen value test</w:t>
      </w:r>
      <w:r w:rsidR="00EB0955" w:rsidRPr="009A7E6E">
        <w:t>, which provides two possible outcomes.</w:t>
      </w:r>
    </w:p>
    <w:p w14:paraId="5BA33DE5" w14:textId="1F2C82E6" w:rsidR="00EB0955" w:rsidRPr="009A7E6E" w:rsidRDefault="00EB0955" w:rsidP="00EB0955">
      <w:pPr>
        <w:pStyle w:val="ListParagraph"/>
        <w:numPr>
          <w:ilvl w:val="1"/>
          <w:numId w:val="1"/>
        </w:numPr>
        <w:jc w:val="both"/>
        <w:rPr>
          <w:b/>
          <w:bCs/>
        </w:rPr>
      </w:pPr>
      <w:r w:rsidRPr="009A7E6E">
        <w:rPr>
          <w:b/>
          <w:bCs/>
        </w:rPr>
        <w:t xml:space="preserve">Cointegration: </w:t>
      </w:r>
      <w:r w:rsidRPr="009A7E6E">
        <w:t xml:space="preserve">If given the test results we find the respective matrix has reduced rank, we are able to estimate a VECM(p-1) model to perform a 4-step ahead forecast for expenditures and a 5-step ahead forecast of revenues with it’s VAR representation. </w:t>
      </w:r>
      <w:r w:rsidR="00CA13C8" w:rsidRPr="009A7E6E">
        <w:t xml:space="preserve"> The model used is:</w:t>
      </w:r>
    </w:p>
    <w:p w14:paraId="6F6778DA" w14:textId="318B5438" w:rsidR="00CA13C8" w:rsidRPr="007030D5" w:rsidRDefault="004E2621" w:rsidP="00CA13C8">
      <w:pPr>
        <w:ind w:left="1080"/>
        <w:jc w:val="both"/>
        <w:rPr>
          <w:rFonts w:eastAsiaTheme="minorEastAsia"/>
          <w:b/>
          <w:bCs/>
        </w:rPr>
      </w:pPr>
      <m:oMathPara>
        <m:oMath>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r>
            <m:rPr>
              <m:sty m:val="bi"/>
            </m:rPr>
            <w:rPr>
              <w:rFonts w:ascii="Cambria Math" w:hAnsi="Cambria Math"/>
            </w:rPr>
            <m:t>=α</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t-1</m:t>
              </m:r>
            </m:sub>
          </m:sSub>
          <m:r>
            <m:rPr>
              <m:sty m:val="bi"/>
            </m:rPr>
            <w:rPr>
              <w:rFonts w:ascii="Cambria Math" w:eastAsiaTheme="minorEastAsia" w:hAnsi="Cambria Math"/>
            </w:rPr>
            <m:t>+π∆</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P-1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t-p+1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t</m:t>
              </m:r>
            </m:sub>
          </m:sSub>
        </m:oMath>
      </m:oMathPara>
    </w:p>
    <w:p w14:paraId="3F1F1941" w14:textId="15A7F19E" w:rsidR="007030D5" w:rsidRPr="00F7486F" w:rsidRDefault="00F7486F" w:rsidP="00CA13C8">
      <w:pPr>
        <w:ind w:left="1080"/>
        <w:jc w:val="both"/>
      </w:pPr>
      <w:r>
        <w:t xml:space="preserve">Where the rank of the matrix </w:t>
      </w:r>
      <m:oMath>
        <m:r>
          <m:rPr>
            <m:sty m:val="bi"/>
          </m:rPr>
          <w:rPr>
            <w:rFonts w:ascii="Cambria Math" w:hAnsi="Cambria Math"/>
          </w:rPr>
          <m:t>α</m:t>
        </m:r>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m:t>
            </m:r>
          </m:sup>
        </m:sSup>
      </m:oMath>
      <w:r>
        <w:rPr>
          <w:rFonts w:eastAsiaTheme="minorEastAsia"/>
        </w:rPr>
        <w:t xml:space="preserve"> determines if there is presence of cointegration if it is of reduced rank</w:t>
      </w:r>
      <w:r w:rsidR="00E62EF5">
        <w:rPr>
          <w:rFonts w:eastAsiaTheme="minorEastAsia"/>
        </w:rPr>
        <w:t xml:space="preserve"> (K &gt; rank &gt; 0). </w:t>
      </w:r>
    </w:p>
    <w:p w14:paraId="7E35832D" w14:textId="1255D67F" w:rsidR="00EB0955" w:rsidRPr="009A7E6E" w:rsidRDefault="00EB0955" w:rsidP="00EB0955">
      <w:pPr>
        <w:pStyle w:val="ListParagraph"/>
        <w:numPr>
          <w:ilvl w:val="1"/>
          <w:numId w:val="1"/>
        </w:numPr>
        <w:jc w:val="both"/>
        <w:rPr>
          <w:b/>
          <w:bCs/>
        </w:rPr>
      </w:pPr>
      <w:r w:rsidRPr="009A7E6E">
        <w:rPr>
          <w:b/>
          <w:bCs/>
        </w:rPr>
        <w:t xml:space="preserve">No cointegration: </w:t>
      </w:r>
      <w:r w:rsidRPr="009A7E6E">
        <w:t xml:space="preserve">If given the test results we find that the respective matrix has rank 0, we use a VAR(p) model in </w:t>
      </w:r>
      <w:r w:rsidR="009F797C" w:rsidRPr="009A7E6E">
        <w:t xml:space="preserve">first </w:t>
      </w:r>
      <w:r w:rsidRPr="009A7E6E">
        <w:t>differences to perform a 4-step ahead forecast for expenditures and a 5-step ahead forecast of revenues.</w:t>
      </w:r>
      <w:r w:rsidR="006E7EED">
        <w:t xml:space="preserve"> In this case, the series are </w:t>
      </w:r>
      <w:r w:rsidR="00F42F92">
        <w:t>differenced,</w:t>
      </w:r>
      <w:r w:rsidR="006E7EED">
        <w:t xml:space="preserve"> and the </w:t>
      </w:r>
      <w:r w:rsidR="00F42F92">
        <w:t xml:space="preserve">first model presented is estimated. </w:t>
      </w:r>
    </w:p>
    <w:p w14:paraId="2FABB0B3" w14:textId="128295EE" w:rsidR="00EB0955" w:rsidRDefault="00EB0955" w:rsidP="00EB0955">
      <w:pPr>
        <w:jc w:val="both"/>
      </w:pPr>
      <w:r w:rsidRPr="009A7E6E">
        <w:t>For any given model, the optimal lags are chosen via minimization of the Akaike Information Criteria (AIC) accounting for a maximum of two (2) lags for yearly data given the limited sample (20 observations). Lastly, all tests are evaluated at the 95% confidence level.</w:t>
      </w:r>
    </w:p>
    <w:p w14:paraId="36BE77D2" w14:textId="1A035D0E" w:rsidR="00D3242D" w:rsidRPr="0001590C" w:rsidRDefault="004F497C" w:rsidP="00EB0955">
      <w:pPr>
        <w:jc w:val="both"/>
        <w:rPr>
          <w:b/>
          <w:bCs/>
          <w:sz w:val="28"/>
          <w:szCs w:val="28"/>
        </w:rPr>
      </w:pPr>
      <w:r w:rsidRPr="0001590C">
        <w:rPr>
          <w:b/>
          <w:bCs/>
          <w:sz w:val="28"/>
          <w:szCs w:val="28"/>
        </w:rPr>
        <w:t>Results:</w:t>
      </w:r>
    </w:p>
    <w:p w14:paraId="0E159078" w14:textId="792BF028" w:rsidR="004F497C" w:rsidRDefault="004F497C" w:rsidP="00EB0955">
      <w:pPr>
        <w:jc w:val="both"/>
      </w:pPr>
      <w:r>
        <w:t xml:space="preserve">Given the lack of yearly data, </w:t>
      </w:r>
      <w:r w:rsidR="00CB6CD0">
        <w:t xml:space="preserve">and that the last year available matches the first year of the COVID-19 pandemic, forecasts have a tendency to </w:t>
      </w:r>
      <w:r w:rsidR="00DF6CFF">
        <w:t xml:space="preserve">go down. To solve this issue, we opted instead to annualize the quarterly forecasts </w:t>
      </w:r>
      <w:r w:rsidR="002B7AE6">
        <w:t>to</w:t>
      </w:r>
      <w:r w:rsidR="00DF6CFF">
        <w:t xml:space="preserve"> obtain yearly information based on </w:t>
      </w:r>
      <w:r w:rsidR="002B7AE6">
        <w:t xml:space="preserve">more available quarterly data. </w:t>
      </w:r>
    </w:p>
    <w:p w14:paraId="5C5D6C64" w14:textId="77777777" w:rsidR="002B7AE6" w:rsidRPr="004F497C" w:rsidRDefault="002B7AE6" w:rsidP="00EB0955">
      <w:pPr>
        <w:jc w:val="both"/>
      </w:pPr>
    </w:p>
    <w:p w14:paraId="6E0C1BB2" w14:textId="07D16CFB" w:rsidR="00D3242D" w:rsidRDefault="00D3242D" w:rsidP="00EB0955">
      <w:pPr>
        <w:jc w:val="both"/>
        <w:rPr>
          <w:b/>
          <w:bCs/>
          <w:sz w:val="24"/>
          <w:szCs w:val="24"/>
        </w:rPr>
      </w:pPr>
      <w:r w:rsidRPr="00D3242D">
        <w:rPr>
          <w:b/>
          <w:bCs/>
          <w:sz w:val="24"/>
          <w:szCs w:val="24"/>
        </w:rPr>
        <w:t>Forecast Results</w:t>
      </w:r>
    </w:p>
    <w:p w14:paraId="084E92E2" w14:textId="0A2B707C" w:rsidR="00D3242D" w:rsidRPr="00D3242D" w:rsidRDefault="00FA6A09" w:rsidP="00EB0955">
      <w:pPr>
        <w:jc w:val="both"/>
        <w:rPr>
          <w:b/>
          <w:bCs/>
          <w:sz w:val="24"/>
          <w:szCs w:val="24"/>
        </w:rPr>
      </w:pPr>
      <w:r>
        <w:rPr>
          <w:noProof/>
        </w:rPr>
        <w:drawing>
          <wp:anchor distT="0" distB="0" distL="114300" distR="114300" simplePos="0" relativeHeight="251658240" behindDoc="0" locked="0" layoutInCell="1" allowOverlap="1" wp14:anchorId="06E24186" wp14:editId="3DBB317E">
            <wp:simplePos x="0" y="0"/>
            <wp:positionH relativeFrom="margin">
              <wp:align>center</wp:align>
            </wp:positionH>
            <wp:positionV relativeFrom="paragraph">
              <wp:posOffset>248920</wp:posOffset>
            </wp:positionV>
            <wp:extent cx="4572000" cy="2743200"/>
            <wp:effectExtent l="0" t="0" r="0" b="0"/>
            <wp:wrapThrough wrapText="bothSides">
              <wp:wrapPolygon edited="0">
                <wp:start x="0" y="0"/>
                <wp:lineTo x="0" y="21450"/>
                <wp:lineTo x="21510" y="21450"/>
                <wp:lineTo x="21510" y="0"/>
                <wp:lineTo x="0" y="0"/>
              </wp:wrapPolygon>
            </wp:wrapThrough>
            <wp:docPr id="1" name="Chart 1">
              <a:extLst xmlns:a="http://schemas.openxmlformats.org/drawingml/2006/main">
                <a:ext uri="{FF2B5EF4-FFF2-40B4-BE49-F238E27FC236}">
                  <a16:creationId xmlns:a16="http://schemas.microsoft.com/office/drawing/2014/main" id="{E19F859E-4332-7147-1A15-8B345E4FBF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171B5DE3" w14:textId="7DE32FCD" w:rsidR="00D76548" w:rsidRDefault="00D76548" w:rsidP="00EB0955">
      <w:pPr>
        <w:jc w:val="both"/>
        <w:rPr>
          <w:b/>
          <w:bCs/>
        </w:rPr>
      </w:pPr>
    </w:p>
    <w:p w14:paraId="0FADC768" w14:textId="18C7A50B" w:rsidR="00FA6A09" w:rsidRDefault="00FA6A09" w:rsidP="00EB0955">
      <w:pPr>
        <w:jc w:val="both"/>
        <w:rPr>
          <w:b/>
          <w:bCs/>
        </w:rPr>
      </w:pPr>
    </w:p>
    <w:p w14:paraId="3E135CAE" w14:textId="07D75635" w:rsidR="00FA6A09" w:rsidRDefault="00FA6A09" w:rsidP="00EB0955">
      <w:pPr>
        <w:jc w:val="both"/>
        <w:rPr>
          <w:b/>
          <w:bCs/>
        </w:rPr>
      </w:pPr>
    </w:p>
    <w:p w14:paraId="6B12DE4E" w14:textId="4DE7593C" w:rsidR="00FA6A09" w:rsidRDefault="00FA6A09" w:rsidP="00EB0955">
      <w:pPr>
        <w:jc w:val="both"/>
        <w:rPr>
          <w:b/>
          <w:bCs/>
        </w:rPr>
      </w:pPr>
    </w:p>
    <w:p w14:paraId="3F573939" w14:textId="103B252A" w:rsidR="00FA6A09" w:rsidRDefault="00FA6A09" w:rsidP="00EB0955">
      <w:pPr>
        <w:jc w:val="both"/>
        <w:rPr>
          <w:b/>
          <w:bCs/>
        </w:rPr>
      </w:pPr>
    </w:p>
    <w:p w14:paraId="480D6D7C" w14:textId="462E14D9" w:rsidR="00FA6A09" w:rsidRDefault="00FA6A09" w:rsidP="00EB0955">
      <w:pPr>
        <w:jc w:val="both"/>
        <w:rPr>
          <w:b/>
          <w:bCs/>
        </w:rPr>
      </w:pPr>
    </w:p>
    <w:p w14:paraId="70E2AAC3" w14:textId="42BDE430" w:rsidR="00FA6A09" w:rsidRDefault="00FA6A09" w:rsidP="00EB0955">
      <w:pPr>
        <w:jc w:val="both"/>
        <w:rPr>
          <w:b/>
          <w:bCs/>
        </w:rPr>
      </w:pPr>
    </w:p>
    <w:p w14:paraId="09E7EE44" w14:textId="21AC5E9A" w:rsidR="00FA6A09" w:rsidRDefault="00FA6A09" w:rsidP="00EB0955">
      <w:pPr>
        <w:jc w:val="both"/>
        <w:rPr>
          <w:b/>
          <w:bCs/>
        </w:rPr>
      </w:pPr>
    </w:p>
    <w:p w14:paraId="6CB600C0" w14:textId="1D47B88B" w:rsidR="00FA6A09" w:rsidRDefault="00FA6A09" w:rsidP="00EB0955">
      <w:pPr>
        <w:jc w:val="both"/>
        <w:rPr>
          <w:b/>
          <w:bCs/>
        </w:rPr>
      </w:pPr>
    </w:p>
    <w:p w14:paraId="637F6A76" w14:textId="2A241306" w:rsidR="00FA6A09" w:rsidRDefault="00FA6A09" w:rsidP="00EB0955">
      <w:pPr>
        <w:jc w:val="both"/>
        <w:rPr>
          <w:b/>
          <w:bCs/>
        </w:rPr>
      </w:pPr>
    </w:p>
    <w:p w14:paraId="44FAA512" w14:textId="51F0C9EC" w:rsidR="00FA6A09" w:rsidRDefault="002B7AE6" w:rsidP="00EB0955">
      <w:pPr>
        <w:jc w:val="both"/>
        <w:rPr>
          <w:b/>
          <w:bCs/>
        </w:rPr>
      </w:pPr>
      <w:r>
        <w:rPr>
          <w:noProof/>
        </w:rPr>
        <w:drawing>
          <wp:anchor distT="0" distB="0" distL="114300" distR="114300" simplePos="0" relativeHeight="251659264" behindDoc="0" locked="0" layoutInCell="1" allowOverlap="1" wp14:anchorId="3CA45CC9" wp14:editId="05FA01CA">
            <wp:simplePos x="0" y="0"/>
            <wp:positionH relativeFrom="margin">
              <wp:posOffset>519620</wp:posOffset>
            </wp:positionH>
            <wp:positionV relativeFrom="paragraph">
              <wp:posOffset>190</wp:posOffset>
            </wp:positionV>
            <wp:extent cx="4572000" cy="2743200"/>
            <wp:effectExtent l="0" t="0" r="0" b="0"/>
            <wp:wrapThrough wrapText="bothSides">
              <wp:wrapPolygon edited="0">
                <wp:start x="0" y="0"/>
                <wp:lineTo x="0" y="21450"/>
                <wp:lineTo x="21510" y="21450"/>
                <wp:lineTo x="21510" y="0"/>
                <wp:lineTo x="0" y="0"/>
              </wp:wrapPolygon>
            </wp:wrapThrough>
            <wp:docPr id="2" name="Chart 2">
              <a:extLst xmlns:a="http://schemas.openxmlformats.org/drawingml/2006/main">
                <a:ext uri="{FF2B5EF4-FFF2-40B4-BE49-F238E27FC236}">
                  <a16:creationId xmlns:a16="http://schemas.microsoft.com/office/drawing/2014/main" id="{5DB10072-72D3-45BE-A9AB-ED25694A3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0E849FA5" w14:textId="6B08EFD2" w:rsidR="00FA6A09" w:rsidRDefault="00FA6A09" w:rsidP="00EB0955">
      <w:pPr>
        <w:jc w:val="both"/>
        <w:rPr>
          <w:b/>
          <w:bCs/>
        </w:rPr>
      </w:pPr>
    </w:p>
    <w:p w14:paraId="27D6D293" w14:textId="77777777" w:rsidR="00C22A1E" w:rsidRDefault="00C22A1E" w:rsidP="00EB0955">
      <w:pPr>
        <w:jc w:val="both"/>
        <w:rPr>
          <w:b/>
          <w:bCs/>
        </w:rPr>
      </w:pPr>
    </w:p>
    <w:p w14:paraId="2DE9143B" w14:textId="000E5E4B" w:rsidR="00C22A1E" w:rsidRDefault="00370830">
      <w:pPr>
        <w:rPr>
          <w:b/>
          <w:bCs/>
        </w:rPr>
      </w:pPr>
      <w:r>
        <w:rPr>
          <w:noProof/>
        </w:rPr>
        <w:drawing>
          <wp:anchor distT="0" distB="0" distL="114300" distR="114300" simplePos="0" relativeHeight="251660288" behindDoc="0" locked="0" layoutInCell="1" allowOverlap="1" wp14:anchorId="13C5330C" wp14:editId="42441C1E">
            <wp:simplePos x="0" y="0"/>
            <wp:positionH relativeFrom="page">
              <wp:align>center</wp:align>
            </wp:positionH>
            <wp:positionV relativeFrom="paragraph">
              <wp:posOffset>1895665</wp:posOffset>
            </wp:positionV>
            <wp:extent cx="4572000" cy="2743200"/>
            <wp:effectExtent l="0" t="0" r="0" b="0"/>
            <wp:wrapThrough wrapText="bothSides">
              <wp:wrapPolygon edited="0">
                <wp:start x="0" y="0"/>
                <wp:lineTo x="0" y="21450"/>
                <wp:lineTo x="21510" y="21450"/>
                <wp:lineTo x="21510" y="0"/>
                <wp:lineTo x="0" y="0"/>
              </wp:wrapPolygon>
            </wp:wrapThrough>
            <wp:docPr id="3" name="Chart 3">
              <a:extLst xmlns:a="http://schemas.openxmlformats.org/drawingml/2006/main">
                <a:ext uri="{FF2B5EF4-FFF2-40B4-BE49-F238E27FC236}">
                  <a16:creationId xmlns:a16="http://schemas.microsoft.com/office/drawing/2014/main" id="{FB8D1946-EFA7-428B-AB8F-C4E3C81D32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noProof/>
        </w:rPr>
        <w:drawing>
          <wp:anchor distT="0" distB="0" distL="114300" distR="114300" simplePos="0" relativeHeight="251661312" behindDoc="0" locked="0" layoutInCell="1" allowOverlap="1" wp14:anchorId="78D78E9B" wp14:editId="38E9F98B">
            <wp:simplePos x="0" y="0"/>
            <wp:positionH relativeFrom="page">
              <wp:posOffset>1600200</wp:posOffset>
            </wp:positionH>
            <wp:positionV relativeFrom="paragraph">
              <wp:posOffset>4643944</wp:posOffset>
            </wp:positionV>
            <wp:extent cx="4572000" cy="2743200"/>
            <wp:effectExtent l="0" t="0" r="0" b="0"/>
            <wp:wrapThrough wrapText="bothSides">
              <wp:wrapPolygon edited="0">
                <wp:start x="0" y="0"/>
                <wp:lineTo x="0" y="21450"/>
                <wp:lineTo x="21510" y="21450"/>
                <wp:lineTo x="21510" y="0"/>
                <wp:lineTo x="0" y="0"/>
              </wp:wrapPolygon>
            </wp:wrapThrough>
            <wp:docPr id="4" name="Chart 4">
              <a:extLst xmlns:a="http://schemas.openxmlformats.org/drawingml/2006/main">
                <a:ext uri="{FF2B5EF4-FFF2-40B4-BE49-F238E27FC236}">
                  <a16:creationId xmlns:a16="http://schemas.microsoft.com/office/drawing/2014/main" id="{CFFC536F-A56C-4E12-A78A-92C0AF4E3A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C22A1E">
        <w:rPr>
          <w:b/>
          <w:bCs/>
        </w:rPr>
        <w:br w:type="page"/>
      </w:r>
    </w:p>
    <w:tbl>
      <w:tblPr>
        <w:tblpPr w:leftFromText="180" w:rightFromText="180" w:vertAnchor="page" w:horzAnchor="margin" w:tblpY="2825"/>
        <w:tblW w:w="8980" w:type="dxa"/>
        <w:tblLook w:val="04A0" w:firstRow="1" w:lastRow="0" w:firstColumn="1" w:lastColumn="0" w:noHBand="0" w:noVBand="1"/>
      </w:tblPr>
      <w:tblGrid>
        <w:gridCol w:w="960"/>
        <w:gridCol w:w="1700"/>
        <w:gridCol w:w="2520"/>
        <w:gridCol w:w="2020"/>
        <w:gridCol w:w="1780"/>
      </w:tblGrid>
      <w:tr w:rsidR="007B7F83" w:rsidRPr="00795E97" w14:paraId="51D2A997" w14:textId="77777777" w:rsidTr="007B7F8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7A7DE" w14:textId="77777777" w:rsidR="007B7F83" w:rsidRPr="00795E97" w:rsidRDefault="007B7F83" w:rsidP="007B7F83">
            <w:pPr>
              <w:spacing w:after="0" w:line="240" w:lineRule="auto"/>
              <w:jc w:val="center"/>
              <w:rPr>
                <w:rFonts w:ascii="Calibri" w:eastAsia="Times New Roman" w:hAnsi="Calibri" w:cs="Calibri"/>
                <w:b/>
                <w:bCs/>
                <w:color w:val="000000"/>
              </w:rPr>
            </w:pPr>
            <w:r w:rsidRPr="00795E97">
              <w:rPr>
                <w:rFonts w:ascii="Calibri" w:eastAsia="Times New Roman" w:hAnsi="Calibri" w:cs="Calibri"/>
                <w:b/>
                <w:bCs/>
                <w:color w:val="000000"/>
              </w:rPr>
              <w:lastRenderedPageBreak/>
              <w:t>Year</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5E4FADD6" w14:textId="77777777" w:rsidR="007B7F83" w:rsidRPr="00795E97" w:rsidRDefault="007B7F83" w:rsidP="007B7F83">
            <w:pPr>
              <w:spacing w:after="0" w:line="240" w:lineRule="auto"/>
              <w:jc w:val="center"/>
              <w:rPr>
                <w:rFonts w:ascii="Calibri" w:eastAsia="Times New Roman" w:hAnsi="Calibri" w:cs="Calibri"/>
                <w:b/>
                <w:bCs/>
                <w:color w:val="000000"/>
              </w:rPr>
            </w:pPr>
            <w:r w:rsidRPr="00795E97">
              <w:rPr>
                <w:rFonts w:ascii="Calibri" w:eastAsia="Times New Roman" w:hAnsi="Calibri" w:cs="Calibri"/>
                <w:b/>
                <w:bCs/>
                <w:color w:val="000000"/>
              </w:rPr>
              <w:t>Revenue Current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14:paraId="31CCE1CE" w14:textId="77777777" w:rsidR="007B7F83" w:rsidRPr="00795E97" w:rsidRDefault="007B7F83" w:rsidP="007B7F83">
            <w:pPr>
              <w:spacing w:after="0" w:line="240" w:lineRule="auto"/>
              <w:jc w:val="center"/>
              <w:rPr>
                <w:rFonts w:ascii="Calibri" w:eastAsia="Times New Roman" w:hAnsi="Calibri" w:cs="Calibri"/>
                <w:b/>
                <w:bCs/>
                <w:color w:val="000000"/>
              </w:rPr>
            </w:pPr>
            <w:r w:rsidRPr="00795E97">
              <w:rPr>
                <w:rFonts w:ascii="Calibri" w:eastAsia="Times New Roman" w:hAnsi="Calibri" w:cs="Calibri"/>
                <w:b/>
                <w:bCs/>
                <w:color w:val="000000"/>
              </w:rPr>
              <w:t>Total Revenue and Grants</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1BFF675E" w14:textId="77777777" w:rsidR="007B7F83" w:rsidRPr="00795E97" w:rsidRDefault="007B7F83" w:rsidP="007B7F83">
            <w:pPr>
              <w:spacing w:after="0" w:line="240" w:lineRule="auto"/>
              <w:jc w:val="center"/>
              <w:rPr>
                <w:rFonts w:ascii="Calibri" w:eastAsia="Times New Roman" w:hAnsi="Calibri" w:cs="Calibri"/>
                <w:b/>
                <w:bCs/>
                <w:color w:val="000000"/>
              </w:rPr>
            </w:pPr>
            <w:r w:rsidRPr="00795E97">
              <w:rPr>
                <w:rFonts w:ascii="Calibri" w:eastAsia="Times New Roman" w:hAnsi="Calibri" w:cs="Calibri"/>
                <w:b/>
                <w:bCs/>
                <w:color w:val="000000"/>
              </w:rPr>
              <w:t>Expenditure Current</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14:paraId="302D3839" w14:textId="77777777" w:rsidR="007B7F83" w:rsidRPr="00795E97" w:rsidRDefault="007B7F83" w:rsidP="007B7F83">
            <w:pPr>
              <w:spacing w:after="0" w:line="240" w:lineRule="auto"/>
              <w:jc w:val="center"/>
              <w:rPr>
                <w:rFonts w:ascii="Calibri" w:eastAsia="Times New Roman" w:hAnsi="Calibri" w:cs="Calibri"/>
                <w:b/>
                <w:bCs/>
                <w:color w:val="000000"/>
              </w:rPr>
            </w:pPr>
            <w:r w:rsidRPr="00795E97">
              <w:rPr>
                <w:rFonts w:ascii="Calibri" w:eastAsia="Times New Roman" w:hAnsi="Calibri" w:cs="Calibri"/>
                <w:b/>
                <w:bCs/>
                <w:color w:val="000000"/>
              </w:rPr>
              <w:t>Total Expenditure</w:t>
            </w:r>
          </w:p>
        </w:tc>
      </w:tr>
      <w:tr w:rsidR="007B7F83" w:rsidRPr="00795E97" w14:paraId="43D34AD7"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C0D94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2000</w:t>
            </w:r>
          </w:p>
        </w:tc>
        <w:tc>
          <w:tcPr>
            <w:tcW w:w="1700" w:type="dxa"/>
            <w:tcBorders>
              <w:top w:val="nil"/>
              <w:left w:val="nil"/>
              <w:bottom w:val="single" w:sz="4" w:space="0" w:color="auto"/>
              <w:right w:val="single" w:sz="4" w:space="0" w:color="auto"/>
            </w:tcBorders>
            <w:shd w:val="clear" w:color="auto" w:fill="auto"/>
            <w:noWrap/>
            <w:vAlign w:val="center"/>
            <w:hideMark/>
          </w:tcPr>
          <w:p w14:paraId="165B4C76"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349.794</w:t>
            </w:r>
          </w:p>
        </w:tc>
        <w:tc>
          <w:tcPr>
            <w:tcW w:w="2520" w:type="dxa"/>
            <w:tcBorders>
              <w:top w:val="nil"/>
              <w:left w:val="nil"/>
              <w:bottom w:val="single" w:sz="4" w:space="0" w:color="auto"/>
              <w:right w:val="single" w:sz="4" w:space="0" w:color="auto"/>
            </w:tcBorders>
            <w:shd w:val="clear" w:color="auto" w:fill="auto"/>
            <w:noWrap/>
            <w:vAlign w:val="center"/>
            <w:hideMark/>
          </w:tcPr>
          <w:p w14:paraId="47910709"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415.968</w:t>
            </w:r>
          </w:p>
        </w:tc>
        <w:tc>
          <w:tcPr>
            <w:tcW w:w="2020" w:type="dxa"/>
            <w:tcBorders>
              <w:top w:val="nil"/>
              <w:left w:val="nil"/>
              <w:bottom w:val="single" w:sz="4" w:space="0" w:color="auto"/>
              <w:right w:val="single" w:sz="4" w:space="0" w:color="auto"/>
            </w:tcBorders>
            <w:shd w:val="clear" w:color="auto" w:fill="auto"/>
            <w:noWrap/>
            <w:vAlign w:val="center"/>
            <w:hideMark/>
          </w:tcPr>
          <w:p w14:paraId="21C7B8A4"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308.365</w:t>
            </w:r>
          </w:p>
        </w:tc>
        <w:tc>
          <w:tcPr>
            <w:tcW w:w="1780" w:type="dxa"/>
            <w:tcBorders>
              <w:top w:val="nil"/>
              <w:left w:val="nil"/>
              <w:bottom w:val="single" w:sz="4" w:space="0" w:color="auto"/>
              <w:right w:val="single" w:sz="4" w:space="0" w:color="auto"/>
            </w:tcBorders>
            <w:shd w:val="clear" w:color="auto" w:fill="auto"/>
            <w:noWrap/>
            <w:vAlign w:val="center"/>
            <w:hideMark/>
          </w:tcPr>
          <w:p w14:paraId="0603334A"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541.718</w:t>
            </w:r>
          </w:p>
        </w:tc>
      </w:tr>
      <w:tr w:rsidR="007B7F83" w:rsidRPr="00795E97" w14:paraId="3E4F7842"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EAF359"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2001</w:t>
            </w:r>
          </w:p>
        </w:tc>
        <w:tc>
          <w:tcPr>
            <w:tcW w:w="1700" w:type="dxa"/>
            <w:tcBorders>
              <w:top w:val="nil"/>
              <w:left w:val="nil"/>
              <w:bottom w:val="single" w:sz="4" w:space="0" w:color="auto"/>
              <w:right w:val="single" w:sz="4" w:space="0" w:color="auto"/>
            </w:tcBorders>
            <w:shd w:val="clear" w:color="auto" w:fill="auto"/>
            <w:noWrap/>
            <w:vAlign w:val="center"/>
            <w:hideMark/>
          </w:tcPr>
          <w:p w14:paraId="1F865D9F"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372.053</w:t>
            </w:r>
          </w:p>
        </w:tc>
        <w:tc>
          <w:tcPr>
            <w:tcW w:w="2520" w:type="dxa"/>
            <w:tcBorders>
              <w:top w:val="nil"/>
              <w:left w:val="nil"/>
              <w:bottom w:val="single" w:sz="4" w:space="0" w:color="auto"/>
              <w:right w:val="single" w:sz="4" w:space="0" w:color="auto"/>
            </w:tcBorders>
            <w:shd w:val="clear" w:color="auto" w:fill="auto"/>
            <w:noWrap/>
            <w:vAlign w:val="center"/>
            <w:hideMark/>
          </w:tcPr>
          <w:p w14:paraId="00C270C3"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458.645</w:t>
            </w:r>
          </w:p>
        </w:tc>
        <w:tc>
          <w:tcPr>
            <w:tcW w:w="2020" w:type="dxa"/>
            <w:tcBorders>
              <w:top w:val="nil"/>
              <w:left w:val="nil"/>
              <w:bottom w:val="single" w:sz="4" w:space="0" w:color="auto"/>
              <w:right w:val="single" w:sz="4" w:space="0" w:color="auto"/>
            </w:tcBorders>
            <w:shd w:val="clear" w:color="auto" w:fill="auto"/>
            <w:noWrap/>
            <w:vAlign w:val="center"/>
            <w:hideMark/>
          </w:tcPr>
          <w:p w14:paraId="3E6C8DB4"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333.665</w:t>
            </w:r>
          </w:p>
        </w:tc>
        <w:tc>
          <w:tcPr>
            <w:tcW w:w="1780" w:type="dxa"/>
            <w:tcBorders>
              <w:top w:val="nil"/>
              <w:left w:val="nil"/>
              <w:bottom w:val="single" w:sz="4" w:space="0" w:color="auto"/>
              <w:right w:val="single" w:sz="4" w:space="0" w:color="auto"/>
            </w:tcBorders>
            <w:shd w:val="clear" w:color="auto" w:fill="auto"/>
            <w:noWrap/>
            <w:vAlign w:val="center"/>
            <w:hideMark/>
          </w:tcPr>
          <w:p w14:paraId="65851A5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589.166</w:t>
            </w:r>
          </w:p>
        </w:tc>
      </w:tr>
      <w:tr w:rsidR="007B7F83" w:rsidRPr="00795E97" w14:paraId="7C0A3891"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C545DC"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2002</w:t>
            </w:r>
          </w:p>
        </w:tc>
        <w:tc>
          <w:tcPr>
            <w:tcW w:w="1700" w:type="dxa"/>
            <w:tcBorders>
              <w:top w:val="nil"/>
              <w:left w:val="nil"/>
              <w:bottom w:val="single" w:sz="4" w:space="0" w:color="auto"/>
              <w:right w:val="single" w:sz="4" w:space="0" w:color="auto"/>
            </w:tcBorders>
            <w:shd w:val="clear" w:color="auto" w:fill="auto"/>
            <w:noWrap/>
            <w:vAlign w:val="center"/>
            <w:hideMark/>
          </w:tcPr>
          <w:p w14:paraId="7015C024"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425.757</w:t>
            </w:r>
          </w:p>
        </w:tc>
        <w:tc>
          <w:tcPr>
            <w:tcW w:w="2520" w:type="dxa"/>
            <w:tcBorders>
              <w:top w:val="nil"/>
              <w:left w:val="nil"/>
              <w:bottom w:val="single" w:sz="4" w:space="0" w:color="auto"/>
              <w:right w:val="single" w:sz="4" w:space="0" w:color="auto"/>
            </w:tcBorders>
            <w:shd w:val="clear" w:color="auto" w:fill="auto"/>
            <w:noWrap/>
            <w:vAlign w:val="center"/>
            <w:hideMark/>
          </w:tcPr>
          <w:p w14:paraId="0D792043"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478.927</w:t>
            </w:r>
          </w:p>
        </w:tc>
        <w:tc>
          <w:tcPr>
            <w:tcW w:w="2020" w:type="dxa"/>
            <w:tcBorders>
              <w:top w:val="nil"/>
              <w:left w:val="nil"/>
              <w:bottom w:val="single" w:sz="4" w:space="0" w:color="auto"/>
              <w:right w:val="single" w:sz="4" w:space="0" w:color="auto"/>
            </w:tcBorders>
            <w:shd w:val="clear" w:color="auto" w:fill="auto"/>
            <w:noWrap/>
            <w:vAlign w:val="center"/>
            <w:hideMark/>
          </w:tcPr>
          <w:p w14:paraId="7AD7757D"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333.443</w:t>
            </w:r>
          </w:p>
        </w:tc>
        <w:tc>
          <w:tcPr>
            <w:tcW w:w="1780" w:type="dxa"/>
            <w:tcBorders>
              <w:top w:val="nil"/>
              <w:left w:val="nil"/>
              <w:bottom w:val="single" w:sz="4" w:space="0" w:color="auto"/>
              <w:right w:val="single" w:sz="4" w:space="0" w:color="auto"/>
            </w:tcBorders>
            <w:shd w:val="clear" w:color="auto" w:fill="auto"/>
            <w:noWrap/>
            <w:vAlign w:val="center"/>
            <w:hideMark/>
          </w:tcPr>
          <w:p w14:paraId="36C343BB"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593.752</w:t>
            </w:r>
          </w:p>
        </w:tc>
      </w:tr>
      <w:tr w:rsidR="007B7F83" w:rsidRPr="00795E97" w14:paraId="6967D3E5"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291880"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2003</w:t>
            </w:r>
          </w:p>
        </w:tc>
        <w:tc>
          <w:tcPr>
            <w:tcW w:w="1700" w:type="dxa"/>
            <w:tcBorders>
              <w:top w:val="nil"/>
              <w:left w:val="nil"/>
              <w:bottom w:val="single" w:sz="4" w:space="0" w:color="auto"/>
              <w:right w:val="single" w:sz="4" w:space="0" w:color="auto"/>
            </w:tcBorders>
            <w:shd w:val="clear" w:color="auto" w:fill="auto"/>
            <w:noWrap/>
            <w:vAlign w:val="center"/>
            <w:hideMark/>
          </w:tcPr>
          <w:p w14:paraId="569DA9DC"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421.822</w:t>
            </w:r>
          </w:p>
        </w:tc>
        <w:tc>
          <w:tcPr>
            <w:tcW w:w="2520" w:type="dxa"/>
            <w:tcBorders>
              <w:top w:val="nil"/>
              <w:left w:val="nil"/>
              <w:bottom w:val="single" w:sz="4" w:space="0" w:color="auto"/>
              <w:right w:val="single" w:sz="4" w:space="0" w:color="auto"/>
            </w:tcBorders>
            <w:shd w:val="clear" w:color="auto" w:fill="auto"/>
            <w:noWrap/>
            <w:vAlign w:val="center"/>
            <w:hideMark/>
          </w:tcPr>
          <w:p w14:paraId="798A4212"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453.036</w:t>
            </w:r>
          </w:p>
        </w:tc>
        <w:tc>
          <w:tcPr>
            <w:tcW w:w="2020" w:type="dxa"/>
            <w:tcBorders>
              <w:top w:val="nil"/>
              <w:left w:val="nil"/>
              <w:bottom w:val="single" w:sz="4" w:space="0" w:color="auto"/>
              <w:right w:val="single" w:sz="4" w:space="0" w:color="auto"/>
            </w:tcBorders>
            <w:shd w:val="clear" w:color="auto" w:fill="auto"/>
            <w:noWrap/>
            <w:vAlign w:val="center"/>
            <w:hideMark/>
          </w:tcPr>
          <w:p w14:paraId="4815B4FC"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421.822</w:t>
            </w:r>
          </w:p>
        </w:tc>
        <w:tc>
          <w:tcPr>
            <w:tcW w:w="1780" w:type="dxa"/>
            <w:tcBorders>
              <w:top w:val="nil"/>
              <w:left w:val="nil"/>
              <w:bottom w:val="single" w:sz="4" w:space="0" w:color="auto"/>
              <w:right w:val="single" w:sz="4" w:space="0" w:color="auto"/>
            </w:tcBorders>
            <w:shd w:val="clear" w:color="auto" w:fill="auto"/>
            <w:noWrap/>
            <w:vAlign w:val="center"/>
            <w:hideMark/>
          </w:tcPr>
          <w:p w14:paraId="03CCF88C"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627.470</w:t>
            </w:r>
          </w:p>
        </w:tc>
      </w:tr>
      <w:tr w:rsidR="007B7F83" w:rsidRPr="00795E97" w14:paraId="60752299"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38EB8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2004</w:t>
            </w:r>
          </w:p>
        </w:tc>
        <w:tc>
          <w:tcPr>
            <w:tcW w:w="1700" w:type="dxa"/>
            <w:tcBorders>
              <w:top w:val="nil"/>
              <w:left w:val="nil"/>
              <w:bottom w:val="single" w:sz="4" w:space="0" w:color="auto"/>
              <w:right w:val="single" w:sz="4" w:space="0" w:color="auto"/>
            </w:tcBorders>
            <w:shd w:val="clear" w:color="auto" w:fill="auto"/>
            <w:noWrap/>
            <w:vAlign w:val="center"/>
            <w:hideMark/>
          </w:tcPr>
          <w:p w14:paraId="55AFA29B"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461.993</w:t>
            </w:r>
          </w:p>
        </w:tc>
        <w:tc>
          <w:tcPr>
            <w:tcW w:w="2520" w:type="dxa"/>
            <w:tcBorders>
              <w:top w:val="nil"/>
              <w:left w:val="nil"/>
              <w:bottom w:val="single" w:sz="4" w:space="0" w:color="auto"/>
              <w:right w:val="single" w:sz="4" w:space="0" w:color="auto"/>
            </w:tcBorders>
            <w:shd w:val="clear" w:color="auto" w:fill="auto"/>
            <w:noWrap/>
            <w:vAlign w:val="center"/>
            <w:hideMark/>
          </w:tcPr>
          <w:p w14:paraId="4DFDFFFB"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519.170</w:t>
            </w:r>
          </w:p>
        </w:tc>
        <w:tc>
          <w:tcPr>
            <w:tcW w:w="2020" w:type="dxa"/>
            <w:tcBorders>
              <w:top w:val="nil"/>
              <w:left w:val="nil"/>
              <w:bottom w:val="single" w:sz="4" w:space="0" w:color="auto"/>
              <w:right w:val="single" w:sz="4" w:space="0" w:color="auto"/>
            </w:tcBorders>
            <w:shd w:val="clear" w:color="auto" w:fill="auto"/>
            <w:noWrap/>
            <w:vAlign w:val="center"/>
            <w:hideMark/>
          </w:tcPr>
          <w:p w14:paraId="24521AB3"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467.684</w:t>
            </w:r>
          </w:p>
        </w:tc>
        <w:tc>
          <w:tcPr>
            <w:tcW w:w="1780" w:type="dxa"/>
            <w:tcBorders>
              <w:top w:val="nil"/>
              <w:left w:val="nil"/>
              <w:bottom w:val="single" w:sz="4" w:space="0" w:color="auto"/>
              <w:right w:val="single" w:sz="4" w:space="0" w:color="auto"/>
            </w:tcBorders>
            <w:shd w:val="clear" w:color="auto" w:fill="auto"/>
            <w:noWrap/>
            <w:vAlign w:val="center"/>
            <w:hideMark/>
          </w:tcPr>
          <w:p w14:paraId="7CD708AF"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647.313</w:t>
            </w:r>
          </w:p>
        </w:tc>
      </w:tr>
      <w:tr w:rsidR="007B7F83" w:rsidRPr="00795E97" w14:paraId="3DC8CC31"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8BD3FB2"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2005</w:t>
            </w:r>
          </w:p>
        </w:tc>
        <w:tc>
          <w:tcPr>
            <w:tcW w:w="1700" w:type="dxa"/>
            <w:tcBorders>
              <w:top w:val="nil"/>
              <w:left w:val="nil"/>
              <w:bottom w:val="single" w:sz="4" w:space="0" w:color="auto"/>
              <w:right w:val="single" w:sz="4" w:space="0" w:color="auto"/>
            </w:tcBorders>
            <w:shd w:val="clear" w:color="auto" w:fill="auto"/>
            <w:noWrap/>
            <w:vAlign w:val="center"/>
            <w:hideMark/>
          </w:tcPr>
          <w:p w14:paraId="5F4149A8"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511.470</w:t>
            </w:r>
          </w:p>
        </w:tc>
        <w:tc>
          <w:tcPr>
            <w:tcW w:w="2520" w:type="dxa"/>
            <w:tcBorders>
              <w:top w:val="nil"/>
              <w:left w:val="nil"/>
              <w:bottom w:val="single" w:sz="4" w:space="0" w:color="auto"/>
              <w:right w:val="single" w:sz="4" w:space="0" w:color="auto"/>
            </w:tcBorders>
            <w:shd w:val="clear" w:color="auto" w:fill="auto"/>
            <w:noWrap/>
            <w:vAlign w:val="center"/>
            <w:hideMark/>
          </w:tcPr>
          <w:p w14:paraId="66B3A27F"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531.940</w:t>
            </w:r>
          </w:p>
        </w:tc>
        <w:tc>
          <w:tcPr>
            <w:tcW w:w="2020" w:type="dxa"/>
            <w:tcBorders>
              <w:top w:val="nil"/>
              <w:left w:val="nil"/>
              <w:bottom w:val="single" w:sz="4" w:space="0" w:color="auto"/>
              <w:right w:val="single" w:sz="4" w:space="0" w:color="auto"/>
            </w:tcBorders>
            <w:shd w:val="clear" w:color="auto" w:fill="auto"/>
            <w:noWrap/>
            <w:vAlign w:val="center"/>
            <w:hideMark/>
          </w:tcPr>
          <w:p w14:paraId="146DD4A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561.151</w:t>
            </w:r>
          </w:p>
        </w:tc>
        <w:tc>
          <w:tcPr>
            <w:tcW w:w="1780" w:type="dxa"/>
            <w:tcBorders>
              <w:top w:val="nil"/>
              <w:left w:val="nil"/>
              <w:bottom w:val="single" w:sz="4" w:space="0" w:color="auto"/>
              <w:right w:val="single" w:sz="4" w:space="0" w:color="auto"/>
            </w:tcBorders>
            <w:shd w:val="clear" w:color="auto" w:fill="auto"/>
            <w:noWrap/>
            <w:vAlign w:val="center"/>
            <w:hideMark/>
          </w:tcPr>
          <w:p w14:paraId="5482ECF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684.239</w:t>
            </w:r>
          </w:p>
        </w:tc>
      </w:tr>
      <w:tr w:rsidR="007B7F83" w:rsidRPr="00795E97" w14:paraId="4CF64023"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4E4A3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2006</w:t>
            </w:r>
          </w:p>
        </w:tc>
        <w:tc>
          <w:tcPr>
            <w:tcW w:w="1700" w:type="dxa"/>
            <w:tcBorders>
              <w:top w:val="nil"/>
              <w:left w:val="nil"/>
              <w:bottom w:val="single" w:sz="4" w:space="0" w:color="auto"/>
              <w:right w:val="single" w:sz="4" w:space="0" w:color="auto"/>
            </w:tcBorders>
            <w:shd w:val="clear" w:color="auto" w:fill="auto"/>
            <w:noWrap/>
            <w:vAlign w:val="center"/>
            <w:hideMark/>
          </w:tcPr>
          <w:p w14:paraId="65812432"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565.949</w:t>
            </w:r>
          </w:p>
        </w:tc>
        <w:tc>
          <w:tcPr>
            <w:tcW w:w="2520" w:type="dxa"/>
            <w:tcBorders>
              <w:top w:val="nil"/>
              <w:left w:val="nil"/>
              <w:bottom w:val="single" w:sz="4" w:space="0" w:color="auto"/>
              <w:right w:val="single" w:sz="4" w:space="0" w:color="auto"/>
            </w:tcBorders>
            <w:shd w:val="clear" w:color="auto" w:fill="auto"/>
            <w:noWrap/>
            <w:vAlign w:val="center"/>
            <w:hideMark/>
          </w:tcPr>
          <w:p w14:paraId="26568FAC"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601.217</w:t>
            </w:r>
          </w:p>
        </w:tc>
        <w:tc>
          <w:tcPr>
            <w:tcW w:w="2020" w:type="dxa"/>
            <w:tcBorders>
              <w:top w:val="nil"/>
              <w:left w:val="nil"/>
              <w:bottom w:val="single" w:sz="4" w:space="0" w:color="auto"/>
              <w:right w:val="single" w:sz="4" w:space="0" w:color="auto"/>
            </w:tcBorders>
            <w:shd w:val="clear" w:color="auto" w:fill="auto"/>
            <w:noWrap/>
            <w:vAlign w:val="center"/>
            <w:hideMark/>
          </w:tcPr>
          <w:p w14:paraId="61D27679"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550.833</w:t>
            </w:r>
          </w:p>
        </w:tc>
        <w:tc>
          <w:tcPr>
            <w:tcW w:w="1780" w:type="dxa"/>
            <w:tcBorders>
              <w:top w:val="nil"/>
              <w:left w:val="nil"/>
              <w:bottom w:val="single" w:sz="4" w:space="0" w:color="auto"/>
              <w:right w:val="single" w:sz="4" w:space="0" w:color="auto"/>
            </w:tcBorders>
            <w:shd w:val="clear" w:color="auto" w:fill="auto"/>
            <w:noWrap/>
            <w:vAlign w:val="center"/>
            <w:hideMark/>
          </w:tcPr>
          <w:p w14:paraId="6217FA9D"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648.578</w:t>
            </w:r>
          </w:p>
        </w:tc>
      </w:tr>
      <w:tr w:rsidR="007B7F83" w:rsidRPr="00795E97" w14:paraId="40ECDB76"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075629"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2007</w:t>
            </w:r>
          </w:p>
        </w:tc>
        <w:tc>
          <w:tcPr>
            <w:tcW w:w="1700" w:type="dxa"/>
            <w:tcBorders>
              <w:top w:val="nil"/>
              <w:left w:val="nil"/>
              <w:bottom w:val="single" w:sz="4" w:space="0" w:color="auto"/>
              <w:right w:val="single" w:sz="4" w:space="0" w:color="auto"/>
            </w:tcBorders>
            <w:shd w:val="clear" w:color="auto" w:fill="auto"/>
            <w:noWrap/>
            <w:vAlign w:val="center"/>
            <w:hideMark/>
          </w:tcPr>
          <w:p w14:paraId="1A811566"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651.465</w:t>
            </w:r>
          </w:p>
        </w:tc>
        <w:tc>
          <w:tcPr>
            <w:tcW w:w="2520" w:type="dxa"/>
            <w:tcBorders>
              <w:top w:val="nil"/>
              <w:left w:val="nil"/>
              <w:bottom w:val="single" w:sz="4" w:space="0" w:color="auto"/>
              <w:right w:val="single" w:sz="4" w:space="0" w:color="auto"/>
            </w:tcBorders>
            <w:shd w:val="clear" w:color="auto" w:fill="auto"/>
            <w:noWrap/>
            <w:vAlign w:val="center"/>
            <w:hideMark/>
          </w:tcPr>
          <w:p w14:paraId="651EADDD"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765.666</w:t>
            </w:r>
          </w:p>
        </w:tc>
        <w:tc>
          <w:tcPr>
            <w:tcW w:w="2020" w:type="dxa"/>
            <w:tcBorders>
              <w:top w:val="nil"/>
              <w:left w:val="nil"/>
              <w:bottom w:val="single" w:sz="4" w:space="0" w:color="auto"/>
              <w:right w:val="single" w:sz="4" w:space="0" w:color="auto"/>
            </w:tcBorders>
            <w:shd w:val="clear" w:color="auto" w:fill="auto"/>
            <w:noWrap/>
            <w:vAlign w:val="center"/>
            <w:hideMark/>
          </w:tcPr>
          <w:p w14:paraId="6500DFE2"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636.119</w:t>
            </w:r>
          </w:p>
        </w:tc>
        <w:tc>
          <w:tcPr>
            <w:tcW w:w="1780" w:type="dxa"/>
            <w:tcBorders>
              <w:top w:val="nil"/>
              <w:left w:val="nil"/>
              <w:bottom w:val="single" w:sz="4" w:space="0" w:color="auto"/>
              <w:right w:val="single" w:sz="4" w:space="0" w:color="auto"/>
            </w:tcBorders>
            <w:shd w:val="clear" w:color="auto" w:fill="auto"/>
            <w:noWrap/>
            <w:vAlign w:val="center"/>
            <w:hideMark/>
          </w:tcPr>
          <w:p w14:paraId="6D99D0D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796.505</w:t>
            </w:r>
          </w:p>
        </w:tc>
      </w:tr>
      <w:tr w:rsidR="007B7F83" w:rsidRPr="00795E97" w14:paraId="086AA58A"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AC0952"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2008</w:t>
            </w:r>
          </w:p>
        </w:tc>
        <w:tc>
          <w:tcPr>
            <w:tcW w:w="1700" w:type="dxa"/>
            <w:tcBorders>
              <w:top w:val="nil"/>
              <w:left w:val="nil"/>
              <w:bottom w:val="single" w:sz="4" w:space="0" w:color="auto"/>
              <w:right w:val="single" w:sz="4" w:space="0" w:color="auto"/>
            </w:tcBorders>
            <w:shd w:val="clear" w:color="auto" w:fill="auto"/>
            <w:noWrap/>
            <w:vAlign w:val="center"/>
            <w:hideMark/>
          </w:tcPr>
          <w:p w14:paraId="37EE6542"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732.344</w:t>
            </w:r>
          </w:p>
        </w:tc>
        <w:tc>
          <w:tcPr>
            <w:tcW w:w="2520" w:type="dxa"/>
            <w:tcBorders>
              <w:top w:val="nil"/>
              <w:left w:val="nil"/>
              <w:bottom w:val="single" w:sz="4" w:space="0" w:color="auto"/>
              <w:right w:val="single" w:sz="4" w:space="0" w:color="auto"/>
            </w:tcBorders>
            <w:shd w:val="clear" w:color="auto" w:fill="auto"/>
            <w:noWrap/>
            <w:vAlign w:val="center"/>
            <w:hideMark/>
          </w:tcPr>
          <w:p w14:paraId="4FAF5FFB"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803.642</w:t>
            </w:r>
          </w:p>
        </w:tc>
        <w:tc>
          <w:tcPr>
            <w:tcW w:w="2020" w:type="dxa"/>
            <w:tcBorders>
              <w:top w:val="nil"/>
              <w:left w:val="nil"/>
              <w:bottom w:val="single" w:sz="4" w:space="0" w:color="auto"/>
              <w:right w:val="single" w:sz="4" w:space="0" w:color="auto"/>
            </w:tcBorders>
            <w:shd w:val="clear" w:color="auto" w:fill="auto"/>
            <w:noWrap/>
            <w:vAlign w:val="center"/>
            <w:hideMark/>
          </w:tcPr>
          <w:p w14:paraId="1601F335"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617.859</w:t>
            </w:r>
          </w:p>
        </w:tc>
        <w:tc>
          <w:tcPr>
            <w:tcW w:w="1780" w:type="dxa"/>
            <w:tcBorders>
              <w:top w:val="nil"/>
              <w:left w:val="nil"/>
              <w:bottom w:val="single" w:sz="4" w:space="0" w:color="auto"/>
              <w:right w:val="single" w:sz="4" w:space="0" w:color="auto"/>
            </w:tcBorders>
            <w:shd w:val="clear" w:color="auto" w:fill="auto"/>
            <w:noWrap/>
            <w:vAlign w:val="center"/>
            <w:hideMark/>
          </w:tcPr>
          <w:p w14:paraId="63DBF59E"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759.462</w:t>
            </w:r>
          </w:p>
        </w:tc>
      </w:tr>
      <w:tr w:rsidR="007B7F83" w:rsidRPr="00795E97" w14:paraId="6D4E6298"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5D4B43"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2009</w:t>
            </w:r>
          </w:p>
        </w:tc>
        <w:tc>
          <w:tcPr>
            <w:tcW w:w="1700" w:type="dxa"/>
            <w:tcBorders>
              <w:top w:val="nil"/>
              <w:left w:val="nil"/>
              <w:bottom w:val="single" w:sz="4" w:space="0" w:color="auto"/>
              <w:right w:val="single" w:sz="4" w:space="0" w:color="auto"/>
            </w:tcBorders>
            <w:shd w:val="clear" w:color="auto" w:fill="auto"/>
            <w:noWrap/>
            <w:vAlign w:val="center"/>
            <w:hideMark/>
          </w:tcPr>
          <w:p w14:paraId="5C1D4904"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660.274</w:t>
            </w:r>
          </w:p>
        </w:tc>
        <w:tc>
          <w:tcPr>
            <w:tcW w:w="2520" w:type="dxa"/>
            <w:tcBorders>
              <w:top w:val="nil"/>
              <w:left w:val="nil"/>
              <w:bottom w:val="single" w:sz="4" w:space="0" w:color="auto"/>
              <w:right w:val="single" w:sz="4" w:space="0" w:color="auto"/>
            </w:tcBorders>
            <w:shd w:val="clear" w:color="auto" w:fill="auto"/>
            <w:noWrap/>
            <w:vAlign w:val="center"/>
            <w:hideMark/>
          </w:tcPr>
          <w:p w14:paraId="6A870C12"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699.021</w:t>
            </w:r>
          </w:p>
        </w:tc>
        <w:tc>
          <w:tcPr>
            <w:tcW w:w="2020" w:type="dxa"/>
            <w:tcBorders>
              <w:top w:val="nil"/>
              <w:left w:val="nil"/>
              <w:bottom w:val="single" w:sz="4" w:space="0" w:color="auto"/>
              <w:right w:val="single" w:sz="4" w:space="0" w:color="auto"/>
            </w:tcBorders>
            <w:shd w:val="clear" w:color="auto" w:fill="auto"/>
            <w:noWrap/>
            <w:vAlign w:val="center"/>
            <w:hideMark/>
          </w:tcPr>
          <w:p w14:paraId="59E704C6"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662.066</w:t>
            </w:r>
          </w:p>
        </w:tc>
        <w:tc>
          <w:tcPr>
            <w:tcW w:w="1780" w:type="dxa"/>
            <w:tcBorders>
              <w:top w:val="nil"/>
              <w:left w:val="nil"/>
              <w:bottom w:val="single" w:sz="4" w:space="0" w:color="auto"/>
              <w:right w:val="single" w:sz="4" w:space="0" w:color="auto"/>
            </w:tcBorders>
            <w:shd w:val="clear" w:color="auto" w:fill="auto"/>
            <w:noWrap/>
            <w:vAlign w:val="center"/>
            <w:hideMark/>
          </w:tcPr>
          <w:p w14:paraId="0EAF11E6"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775.396</w:t>
            </w:r>
          </w:p>
        </w:tc>
      </w:tr>
      <w:tr w:rsidR="007B7F83" w:rsidRPr="00795E97" w14:paraId="7088DE1E"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294A57"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2010</w:t>
            </w:r>
          </w:p>
        </w:tc>
        <w:tc>
          <w:tcPr>
            <w:tcW w:w="1700" w:type="dxa"/>
            <w:tcBorders>
              <w:top w:val="nil"/>
              <w:left w:val="nil"/>
              <w:bottom w:val="single" w:sz="4" w:space="0" w:color="auto"/>
              <w:right w:val="single" w:sz="4" w:space="0" w:color="auto"/>
            </w:tcBorders>
            <w:shd w:val="clear" w:color="auto" w:fill="auto"/>
            <w:noWrap/>
            <w:vAlign w:val="center"/>
            <w:hideMark/>
          </w:tcPr>
          <w:p w14:paraId="1215E5D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753.768</w:t>
            </w:r>
          </w:p>
        </w:tc>
        <w:tc>
          <w:tcPr>
            <w:tcW w:w="2520" w:type="dxa"/>
            <w:tcBorders>
              <w:top w:val="nil"/>
              <w:left w:val="nil"/>
              <w:bottom w:val="single" w:sz="4" w:space="0" w:color="auto"/>
              <w:right w:val="single" w:sz="4" w:space="0" w:color="auto"/>
            </w:tcBorders>
            <w:shd w:val="clear" w:color="auto" w:fill="auto"/>
            <w:noWrap/>
            <w:vAlign w:val="center"/>
            <w:hideMark/>
          </w:tcPr>
          <w:p w14:paraId="6D1E404A"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769.522</w:t>
            </w:r>
          </w:p>
        </w:tc>
        <w:tc>
          <w:tcPr>
            <w:tcW w:w="2020" w:type="dxa"/>
            <w:tcBorders>
              <w:top w:val="nil"/>
              <w:left w:val="nil"/>
              <w:bottom w:val="single" w:sz="4" w:space="0" w:color="auto"/>
              <w:right w:val="single" w:sz="4" w:space="0" w:color="auto"/>
            </w:tcBorders>
            <w:shd w:val="clear" w:color="auto" w:fill="auto"/>
            <w:noWrap/>
            <w:vAlign w:val="center"/>
            <w:hideMark/>
          </w:tcPr>
          <w:p w14:paraId="3C954E05"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682.734</w:t>
            </w:r>
          </w:p>
        </w:tc>
        <w:tc>
          <w:tcPr>
            <w:tcW w:w="1780" w:type="dxa"/>
            <w:tcBorders>
              <w:top w:val="nil"/>
              <w:left w:val="nil"/>
              <w:bottom w:val="single" w:sz="4" w:space="0" w:color="auto"/>
              <w:right w:val="single" w:sz="4" w:space="0" w:color="auto"/>
            </w:tcBorders>
            <w:shd w:val="clear" w:color="auto" w:fill="auto"/>
            <w:noWrap/>
            <w:vAlign w:val="center"/>
            <w:hideMark/>
          </w:tcPr>
          <w:p w14:paraId="46DEE876"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815.864</w:t>
            </w:r>
          </w:p>
        </w:tc>
      </w:tr>
      <w:tr w:rsidR="007B7F83" w:rsidRPr="00795E97" w14:paraId="12EEACF1"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BE0A47"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2011</w:t>
            </w:r>
          </w:p>
        </w:tc>
        <w:tc>
          <w:tcPr>
            <w:tcW w:w="1700" w:type="dxa"/>
            <w:tcBorders>
              <w:top w:val="nil"/>
              <w:left w:val="nil"/>
              <w:bottom w:val="single" w:sz="4" w:space="0" w:color="auto"/>
              <w:right w:val="single" w:sz="4" w:space="0" w:color="auto"/>
            </w:tcBorders>
            <w:shd w:val="clear" w:color="auto" w:fill="auto"/>
            <w:noWrap/>
            <w:vAlign w:val="center"/>
            <w:hideMark/>
          </w:tcPr>
          <w:p w14:paraId="0E9D167E"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786.986</w:t>
            </w:r>
          </w:p>
        </w:tc>
        <w:tc>
          <w:tcPr>
            <w:tcW w:w="2520" w:type="dxa"/>
            <w:tcBorders>
              <w:top w:val="nil"/>
              <w:left w:val="nil"/>
              <w:bottom w:val="single" w:sz="4" w:space="0" w:color="auto"/>
              <w:right w:val="single" w:sz="4" w:space="0" w:color="auto"/>
            </w:tcBorders>
            <w:shd w:val="clear" w:color="auto" w:fill="auto"/>
            <w:noWrap/>
            <w:vAlign w:val="center"/>
            <w:hideMark/>
          </w:tcPr>
          <w:p w14:paraId="3B74AB4D"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816.184</w:t>
            </w:r>
          </w:p>
        </w:tc>
        <w:tc>
          <w:tcPr>
            <w:tcW w:w="2020" w:type="dxa"/>
            <w:tcBorders>
              <w:top w:val="nil"/>
              <w:left w:val="nil"/>
              <w:bottom w:val="single" w:sz="4" w:space="0" w:color="auto"/>
              <w:right w:val="single" w:sz="4" w:space="0" w:color="auto"/>
            </w:tcBorders>
            <w:shd w:val="clear" w:color="auto" w:fill="auto"/>
            <w:noWrap/>
            <w:vAlign w:val="center"/>
            <w:hideMark/>
          </w:tcPr>
          <w:p w14:paraId="05DC866A"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717.380</w:t>
            </w:r>
          </w:p>
        </w:tc>
        <w:tc>
          <w:tcPr>
            <w:tcW w:w="1780" w:type="dxa"/>
            <w:tcBorders>
              <w:top w:val="nil"/>
              <w:left w:val="nil"/>
              <w:bottom w:val="single" w:sz="4" w:space="0" w:color="auto"/>
              <w:right w:val="single" w:sz="4" w:space="0" w:color="auto"/>
            </w:tcBorders>
            <w:shd w:val="clear" w:color="auto" w:fill="auto"/>
            <w:noWrap/>
            <w:vAlign w:val="center"/>
            <w:hideMark/>
          </w:tcPr>
          <w:p w14:paraId="781D3106"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839.094</w:t>
            </w:r>
          </w:p>
        </w:tc>
      </w:tr>
      <w:tr w:rsidR="007B7F83" w:rsidRPr="00795E97" w14:paraId="303FA22F"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6D5378"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2012</w:t>
            </w:r>
          </w:p>
        </w:tc>
        <w:tc>
          <w:tcPr>
            <w:tcW w:w="1700" w:type="dxa"/>
            <w:tcBorders>
              <w:top w:val="nil"/>
              <w:left w:val="nil"/>
              <w:bottom w:val="single" w:sz="4" w:space="0" w:color="auto"/>
              <w:right w:val="single" w:sz="4" w:space="0" w:color="auto"/>
            </w:tcBorders>
            <w:shd w:val="clear" w:color="auto" w:fill="auto"/>
            <w:noWrap/>
            <w:vAlign w:val="center"/>
            <w:hideMark/>
          </w:tcPr>
          <w:p w14:paraId="22280C18"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825.602</w:t>
            </w:r>
          </w:p>
        </w:tc>
        <w:tc>
          <w:tcPr>
            <w:tcW w:w="2520" w:type="dxa"/>
            <w:tcBorders>
              <w:top w:val="nil"/>
              <w:left w:val="nil"/>
              <w:bottom w:val="single" w:sz="4" w:space="0" w:color="auto"/>
              <w:right w:val="single" w:sz="4" w:space="0" w:color="auto"/>
            </w:tcBorders>
            <w:shd w:val="clear" w:color="auto" w:fill="auto"/>
            <w:noWrap/>
            <w:vAlign w:val="center"/>
            <w:hideMark/>
          </w:tcPr>
          <w:p w14:paraId="7564C4F7"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877.608</w:t>
            </w:r>
          </w:p>
        </w:tc>
        <w:tc>
          <w:tcPr>
            <w:tcW w:w="2020" w:type="dxa"/>
            <w:tcBorders>
              <w:top w:val="nil"/>
              <w:left w:val="nil"/>
              <w:bottom w:val="single" w:sz="4" w:space="0" w:color="auto"/>
              <w:right w:val="single" w:sz="4" w:space="0" w:color="auto"/>
            </w:tcBorders>
            <w:shd w:val="clear" w:color="auto" w:fill="auto"/>
            <w:noWrap/>
            <w:vAlign w:val="center"/>
            <w:hideMark/>
          </w:tcPr>
          <w:p w14:paraId="35E5262D"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740.840</w:t>
            </w:r>
          </w:p>
        </w:tc>
        <w:tc>
          <w:tcPr>
            <w:tcW w:w="1780" w:type="dxa"/>
            <w:tcBorders>
              <w:top w:val="nil"/>
              <w:left w:val="nil"/>
              <w:bottom w:val="single" w:sz="4" w:space="0" w:color="auto"/>
              <w:right w:val="single" w:sz="4" w:space="0" w:color="auto"/>
            </w:tcBorders>
            <w:shd w:val="clear" w:color="auto" w:fill="auto"/>
            <w:noWrap/>
            <w:vAlign w:val="center"/>
            <w:hideMark/>
          </w:tcPr>
          <w:p w14:paraId="32F65C4C"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902.740</w:t>
            </w:r>
          </w:p>
        </w:tc>
      </w:tr>
      <w:tr w:rsidR="007B7F83" w:rsidRPr="00795E97" w14:paraId="259A357F"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3D9EFF"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2013</w:t>
            </w:r>
          </w:p>
        </w:tc>
        <w:tc>
          <w:tcPr>
            <w:tcW w:w="1700" w:type="dxa"/>
            <w:tcBorders>
              <w:top w:val="nil"/>
              <w:left w:val="nil"/>
              <w:bottom w:val="single" w:sz="4" w:space="0" w:color="auto"/>
              <w:right w:val="single" w:sz="4" w:space="0" w:color="auto"/>
            </w:tcBorders>
            <w:shd w:val="clear" w:color="auto" w:fill="auto"/>
            <w:noWrap/>
            <w:vAlign w:val="center"/>
            <w:hideMark/>
          </w:tcPr>
          <w:p w14:paraId="1B095FC6"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851.580</w:t>
            </w:r>
          </w:p>
        </w:tc>
        <w:tc>
          <w:tcPr>
            <w:tcW w:w="2520" w:type="dxa"/>
            <w:tcBorders>
              <w:top w:val="nil"/>
              <w:left w:val="nil"/>
              <w:bottom w:val="single" w:sz="4" w:space="0" w:color="auto"/>
              <w:right w:val="single" w:sz="4" w:space="0" w:color="auto"/>
            </w:tcBorders>
            <w:shd w:val="clear" w:color="auto" w:fill="auto"/>
            <w:noWrap/>
            <w:vAlign w:val="center"/>
            <w:hideMark/>
          </w:tcPr>
          <w:p w14:paraId="51ABFF2D"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884.941</w:t>
            </w:r>
          </w:p>
        </w:tc>
        <w:tc>
          <w:tcPr>
            <w:tcW w:w="2020" w:type="dxa"/>
            <w:tcBorders>
              <w:top w:val="nil"/>
              <w:left w:val="nil"/>
              <w:bottom w:val="single" w:sz="4" w:space="0" w:color="auto"/>
              <w:right w:val="single" w:sz="4" w:space="0" w:color="auto"/>
            </w:tcBorders>
            <w:shd w:val="clear" w:color="auto" w:fill="auto"/>
            <w:noWrap/>
            <w:vAlign w:val="center"/>
            <w:hideMark/>
          </w:tcPr>
          <w:p w14:paraId="4E694FCB"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743.623</w:t>
            </w:r>
          </w:p>
        </w:tc>
        <w:tc>
          <w:tcPr>
            <w:tcW w:w="1780" w:type="dxa"/>
            <w:tcBorders>
              <w:top w:val="nil"/>
              <w:left w:val="nil"/>
              <w:bottom w:val="single" w:sz="4" w:space="0" w:color="auto"/>
              <w:right w:val="single" w:sz="4" w:space="0" w:color="auto"/>
            </w:tcBorders>
            <w:shd w:val="clear" w:color="auto" w:fill="auto"/>
            <w:noWrap/>
            <w:vAlign w:val="center"/>
            <w:hideMark/>
          </w:tcPr>
          <w:p w14:paraId="3926EE8C"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922.113</w:t>
            </w:r>
          </w:p>
        </w:tc>
      </w:tr>
      <w:tr w:rsidR="007B7F83" w:rsidRPr="00795E97" w14:paraId="17A45804"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30B4D"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2014</w:t>
            </w:r>
          </w:p>
        </w:tc>
        <w:tc>
          <w:tcPr>
            <w:tcW w:w="1700" w:type="dxa"/>
            <w:tcBorders>
              <w:top w:val="nil"/>
              <w:left w:val="nil"/>
              <w:bottom w:val="single" w:sz="4" w:space="0" w:color="auto"/>
              <w:right w:val="single" w:sz="4" w:space="0" w:color="auto"/>
            </w:tcBorders>
            <w:shd w:val="clear" w:color="auto" w:fill="auto"/>
            <w:noWrap/>
            <w:vAlign w:val="center"/>
            <w:hideMark/>
          </w:tcPr>
          <w:p w14:paraId="17D54B5D"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911.668</w:t>
            </w:r>
          </w:p>
        </w:tc>
        <w:tc>
          <w:tcPr>
            <w:tcW w:w="2520" w:type="dxa"/>
            <w:tcBorders>
              <w:top w:val="nil"/>
              <w:left w:val="nil"/>
              <w:bottom w:val="single" w:sz="4" w:space="0" w:color="auto"/>
              <w:right w:val="single" w:sz="4" w:space="0" w:color="auto"/>
            </w:tcBorders>
            <w:shd w:val="clear" w:color="auto" w:fill="auto"/>
            <w:noWrap/>
            <w:vAlign w:val="center"/>
            <w:hideMark/>
          </w:tcPr>
          <w:p w14:paraId="6CB8DFB6"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1000.364</w:t>
            </w:r>
          </w:p>
        </w:tc>
        <w:tc>
          <w:tcPr>
            <w:tcW w:w="2020" w:type="dxa"/>
            <w:tcBorders>
              <w:top w:val="nil"/>
              <w:left w:val="nil"/>
              <w:bottom w:val="single" w:sz="4" w:space="0" w:color="auto"/>
              <w:right w:val="single" w:sz="4" w:space="0" w:color="auto"/>
            </w:tcBorders>
            <w:shd w:val="clear" w:color="auto" w:fill="auto"/>
            <w:noWrap/>
            <w:vAlign w:val="center"/>
            <w:hideMark/>
          </w:tcPr>
          <w:p w14:paraId="0B6B3A6A"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817.570</w:t>
            </w:r>
          </w:p>
        </w:tc>
        <w:tc>
          <w:tcPr>
            <w:tcW w:w="1780" w:type="dxa"/>
            <w:tcBorders>
              <w:top w:val="nil"/>
              <w:left w:val="nil"/>
              <w:bottom w:val="single" w:sz="4" w:space="0" w:color="auto"/>
              <w:right w:val="single" w:sz="4" w:space="0" w:color="auto"/>
            </w:tcBorders>
            <w:shd w:val="clear" w:color="auto" w:fill="auto"/>
            <w:noWrap/>
            <w:vAlign w:val="center"/>
            <w:hideMark/>
          </w:tcPr>
          <w:p w14:paraId="2BAC9A33"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1099.118</w:t>
            </w:r>
          </w:p>
        </w:tc>
      </w:tr>
      <w:tr w:rsidR="007B7F83" w:rsidRPr="00795E97" w14:paraId="0BF2D91F"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D161DB"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2015</w:t>
            </w:r>
          </w:p>
        </w:tc>
        <w:tc>
          <w:tcPr>
            <w:tcW w:w="1700" w:type="dxa"/>
            <w:tcBorders>
              <w:top w:val="nil"/>
              <w:left w:val="nil"/>
              <w:bottom w:val="single" w:sz="4" w:space="0" w:color="auto"/>
              <w:right w:val="single" w:sz="4" w:space="0" w:color="auto"/>
            </w:tcBorders>
            <w:shd w:val="clear" w:color="auto" w:fill="auto"/>
            <w:noWrap/>
            <w:vAlign w:val="center"/>
            <w:hideMark/>
          </w:tcPr>
          <w:p w14:paraId="79A3BE36"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993.985</w:t>
            </w:r>
          </w:p>
        </w:tc>
        <w:tc>
          <w:tcPr>
            <w:tcW w:w="2520" w:type="dxa"/>
            <w:tcBorders>
              <w:top w:val="nil"/>
              <w:left w:val="nil"/>
              <w:bottom w:val="single" w:sz="4" w:space="0" w:color="auto"/>
              <w:right w:val="single" w:sz="4" w:space="0" w:color="auto"/>
            </w:tcBorders>
            <w:shd w:val="clear" w:color="auto" w:fill="auto"/>
            <w:noWrap/>
            <w:vAlign w:val="center"/>
            <w:hideMark/>
          </w:tcPr>
          <w:p w14:paraId="19C50B8A"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1022.291</w:t>
            </w:r>
          </w:p>
        </w:tc>
        <w:tc>
          <w:tcPr>
            <w:tcW w:w="2020" w:type="dxa"/>
            <w:tcBorders>
              <w:top w:val="nil"/>
              <w:left w:val="nil"/>
              <w:bottom w:val="single" w:sz="4" w:space="0" w:color="auto"/>
              <w:right w:val="single" w:sz="4" w:space="0" w:color="auto"/>
            </w:tcBorders>
            <w:shd w:val="clear" w:color="auto" w:fill="auto"/>
            <w:noWrap/>
            <w:vAlign w:val="center"/>
            <w:hideMark/>
          </w:tcPr>
          <w:p w14:paraId="37587298"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893.990</w:t>
            </w:r>
          </w:p>
        </w:tc>
        <w:tc>
          <w:tcPr>
            <w:tcW w:w="1780" w:type="dxa"/>
            <w:tcBorders>
              <w:top w:val="nil"/>
              <w:left w:val="nil"/>
              <w:bottom w:val="single" w:sz="4" w:space="0" w:color="auto"/>
              <w:right w:val="single" w:sz="4" w:space="0" w:color="auto"/>
            </w:tcBorders>
            <w:shd w:val="clear" w:color="auto" w:fill="auto"/>
            <w:noWrap/>
            <w:vAlign w:val="center"/>
            <w:hideMark/>
          </w:tcPr>
          <w:p w14:paraId="5730F34E"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1298.593</w:t>
            </w:r>
          </w:p>
        </w:tc>
      </w:tr>
      <w:tr w:rsidR="007B7F83" w:rsidRPr="00795E97" w14:paraId="22C2E638"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802F4F"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2016</w:t>
            </w:r>
          </w:p>
        </w:tc>
        <w:tc>
          <w:tcPr>
            <w:tcW w:w="1700" w:type="dxa"/>
            <w:tcBorders>
              <w:top w:val="nil"/>
              <w:left w:val="nil"/>
              <w:bottom w:val="single" w:sz="4" w:space="0" w:color="auto"/>
              <w:right w:val="single" w:sz="4" w:space="0" w:color="auto"/>
            </w:tcBorders>
            <w:shd w:val="clear" w:color="auto" w:fill="auto"/>
            <w:noWrap/>
            <w:vAlign w:val="center"/>
            <w:hideMark/>
          </w:tcPr>
          <w:p w14:paraId="16A3DA9E"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1002.577</w:t>
            </w:r>
          </w:p>
        </w:tc>
        <w:tc>
          <w:tcPr>
            <w:tcW w:w="2520" w:type="dxa"/>
            <w:tcBorders>
              <w:top w:val="nil"/>
              <w:left w:val="nil"/>
              <w:bottom w:val="single" w:sz="4" w:space="0" w:color="auto"/>
              <w:right w:val="single" w:sz="4" w:space="0" w:color="auto"/>
            </w:tcBorders>
            <w:shd w:val="clear" w:color="auto" w:fill="auto"/>
            <w:noWrap/>
            <w:vAlign w:val="center"/>
            <w:hideMark/>
          </w:tcPr>
          <w:p w14:paraId="2706AF0D"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1039.419</w:t>
            </w:r>
          </w:p>
        </w:tc>
        <w:tc>
          <w:tcPr>
            <w:tcW w:w="2020" w:type="dxa"/>
            <w:tcBorders>
              <w:top w:val="nil"/>
              <w:left w:val="nil"/>
              <w:bottom w:val="single" w:sz="4" w:space="0" w:color="auto"/>
              <w:right w:val="single" w:sz="4" w:space="0" w:color="auto"/>
            </w:tcBorders>
            <w:shd w:val="clear" w:color="auto" w:fill="auto"/>
            <w:noWrap/>
            <w:vAlign w:val="center"/>
            <w:hideMark/>
          </w:tcPr>
          <w:p w14:paraId="46763C6C"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950.942</w:t>
            </w:r>
          </w:p>
        </w:tc>
        <w:tc>
          <w:tcPr>
            <w:tcW w:w="1780" w:type="dxa"/>
            <w:tcBorders>
              <w:top w:val="nil"/>
              <w:left w:val="nil"/>
              <w:bottom w:val="single" w:sz="4" w:space="0" w:color="auto"/>
              <w:right w:val="single" w:sz="4" w:space="0" w:color="auto"/>
            </w:tcBorders>
            <w:shd w:val="clear" w:color="auto" w:fill="auto"/>
            <w:noWrap/>
            <w:vAlign w:val="center"/>
            <w:hideMark/>
          </w:tcPr>
          <w:p w14:paraId="40F8C5A3"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1158.487</w:t>
            </w:r>
          </w:p>
        </w:tc>
      </w:tr>
      <w:tr w:rsidR="007B7F83" w:rsidRPr="00795E97" w14:paraId="25FD5ECF"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06AA5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2017</w:t>
            </w:r>
          </w:p>
        </w:tc>
        <w:tc>
          <w:tcPr>
            <w:tcW w:w="1700" w:type="dxa"/>
            <w:tcBorders>
              <w:top w:val="nil"/>
              <w:left w:val="nil"/>
              <w:bottom w:val="single" w:sz="4" w:space="0" w:color="auto"/>
              <w:right w:val="single" w:sz="4" w:space="0" w:color="auto"/>
            </w:tcBorders>
            <w:shd w:val="clear" w:color="auto" w:fill="auto"/>
            <w:noWrap/>
            <w:vAlign w:val="center"/>
            <w:hideMark/>
          </w:tcPr>
          <w:p w14:paraId="5CC0B333"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1047.930</w:t>
            </w:r>
          </w:p>
        </w:tc>
        <w:tc>
          <w:tcPr>
            <w:tcW w:w="2520" w:type="dxa"/>
            <w:tcBorders>
              <w:top w:val="nil"/>
              <w:left w:val="nil"/>
              <w:bottom w:val="single" w:sz="4" w:space="0" w:color="auto"/>
              <w:right w:val="single" w:sz="4" w:space="0" w:color="auto"/>
            </w:tcBorders>
            <w:shd w:val="clear" w:color="auto" w:fill="auto"/>
            <w:noWrap/>
            <w:vAlign w:val="center"/>
            <w:hideMark/>
          </w:tcPr>
          <w:p w14:paraId="67A79A32"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1074.233</w:t>
            </w:r>
          </w:p>
        </w:tc>
        <w:tc>
          <w:tcPr>
            <w:tcW w:w="2020" w:type="dxa"/>
            <w:tcBorders>
              <w:top w:val="nil"/>
              <w:left w:val="nil"/>
              <w:bottom w:val="single" w:sz="4" w:space="0" w:color="auto"/>
              <w:right w:val="single" w:sz="4" w:space="0" w:color="auto"/>
            </w:tcBorders>
            <w:shd w:val="clear" w:color="auto" w:fill="auto"/>
            <w:noWrap/>
            <w:vAlign w:val="center"/>
            <w:hideMark/>
          </w:tcPr>
          <w:p w14:paraId="23D354DF"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1005.828</w:t>
            </w:r>
          </w:p>
        </w:tc>
        <w:tc>
          <w:tcPr>
            <w:tcW w:w="1780" w:type="dxa"/>
            <w:tcBorders>
              <w:top w:val="nil"/>
              <w:left w:val="nil"/>
              <w:bottom w:val="single" w:sz="4" w:space="0" w:color="auto"/>
              <w:right w:val="single" w:sz="4" w:space="0" w:color="auto"/>
            </w:tcBorders>
            <w:shd w:val="clear" w:color="auto" w:fill="auto"/>
            <w:noWrap/>
            <w:vAlign w:val="center"/>
            <w:hideMark/>
          </w:tcPr>
          <w:p w14:paraId="7D6BA748"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1177.596</w:t>
            </w:r>
          </w:p>
        </w:tc>
      </w:tr>
      <w:tr w:rsidR="007B7F83" w:rsidRPr="00795E97" w14:paraId="61673F71"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2AE32D"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2018</w:t>
            </w:r>
          </w:p>
        </w:tc>
        <w:tc>
          <w:tcPr>
            <w:tcW w:w="1700" w:type="dxa"/>
            <w:tcBorders>
              <w:top w:val="nil"/>
              <w:left w:val="nil"/>
              <w:bottom w:val="single" w:sz="4" w:space="0" w:color="auto"/>
              <w:right w:val="single" w:sz="4" w:space="0" w:color="auto"/>
            </w:tcBorders>
            <w:shd w:val="clear" w:color="auto" w:fill="auto"/>
            <w:noWrap/>
            <w:vAlign w:val="center"/>
            <w:hideMark/>
          </w:tcPr>
          <w:p w14:paraId="7C59DCC2"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1139.369</w:t>
            </w:r>
          </w:p>
        </w:tc>
        <w:tc>
          <w:tcPr>
            <w:tcW w:w="2520" w:type="dxa"/>
            <w:tcBorders>
              <w:top w:val="nil"/>
              <w:left w:val="nil"/>
              <w:bottom w:val="single" w:sz="4" w:space="0" w:color="auto"/>
              <w:right w:val="single" w:sz="4" w:space="0" w:color="auto"/>
            </w:tcBorders>
            <w:shd w:val="clear" w:color="auto" w:fill="auto"/>
            <w:noWrap/>
            <w:vAlign w:val="center"/>
            <w:hideMark/>
          </w:tcPr>
          <w:p w14:paraId="1E76ED26"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1193.703</w:t>
            </w:r>
          </w:p>
        </w:tc>
        <w:tc>
          <w:tcPr>
            <w:tcW w:w="2020" w:type="dxa"/>
            <w:tcBorders>
              <w:top w:val="nil"/>
              <w:left w:val="nil"/>
              <w:bottom w:val="single" w:sz="4" w:space="0" w:color="auto"/>
              <w:right w:val="single" w:sz="4" w:space="0" w:color="auto"/>
            </w:tcBorders>
            <w:shd w:val="clear" w:color="auto" w:fill="auto"/>
            <w:noWrap/>
            <w:vAlign w:val="center"/>
            <w:hideMark/>
          </w:tcPr>
          <w:p w14:paraId="53748938"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1052.851</w:t>
            </w:r>
          </w:p>
        </w:tc>
        <w:tc>
          <w:tcPr>
            <w:tcW w:w="1780" w:type="dxa"/>
            <w:tcBorders>
              <w:top w:val="nil"/>
              <w:left w:val="nil"/>
              <w:bottom w:val="single" w:sz="4" w:space="0" w:color="auto"/>
              <w:right w:val="single" w:sz="4" w:space="0" w:color="auto"/>
            </w:tcBorders>
            <w:shd w:val="clear" w:color="auto" w:fill="auto"/>
            <w:noWrap/>
            <w:vAlign w:val="center"/>
            <w:hideMark/>
          </w:tcPr>
          <w:p w14:paraId="38C10EF3"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1221.276</w:t>
            </w:r>
          </w:p>
        </w:tc>
      </w:tr>
      <w:tr w:rsidR="007B7F83" w:rsidRPr="00795E97" w14:paraId="38DDFE30"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F9B09C"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2019</w:t>
            </w:r>
          </w:p>
        </w:tc>
        <w:tc>
          <w:tcPr>
            <w:tcW w:w="1700" w:type="dxa"/>
            <w:tcBorders>
              <w:top w:val="nil"/>
              <w:left w:val="nil"/>
              <w:bottom w:val="single" w:sz="4" w:space="0" w:color="auto"/>
              <w:right w:val="single" w:sz="4" w:space="0" w:color="auto"/>
            </w:tcBorders>
            <w:shd w:val="clear" w:color="auto" w:fill="auto"/>
            <w:noWrap/>
            <w:vAlign w:val="center"/>
            <w:hideMark/>
          </w:tcPr>
          <w:p w14:paraId="15F9335B"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1147.700</w:t>
            </w:r>
          </w:p>
        </w:tc>
        <w:tc>
          <w:tcPr>
            <w:tcW w:w="2520" w:type="dxa"/>
            <w:tcBorders>
              <w:top w:val="nil"/>
              <w:left w:val="nil"/>
              <w:bottom w:val="single" w:sz="4" w:space="0" w:color="auto"/>
              <w:right w:val="single" w:sz="4" w:space="0" w:color="auto"/>
            </w:tcBorders>
            <w:shd w:val="clear" w:color="auto" w:fill="auto"/>
            <w:noWrap/>
            <w:vAlign w:val="center"/>
            <w:hideMark/>
          </w:tcPr>
          <w:p w14:paraId="1433E60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1176.344</w:t>
            </w:r>
          </w:p>
        </w:tc>
        <w:tc>
          <w:tcPr>
            <w:tcW w:w="2020" w:type="dxa"/>
            <w:tcBorders>
              <w:top w:val="nil"/>
              <w:left w:val="nil"/>
              <w:bottom w:val="single" w:sz="4" w:space="0" w:color="auto"/>
              <w:right w:val="single" w:sz="4" w:space="0" w:color="auto"/>
            </w:tcBorders>
            <w:shd w:val="clear" w:color="auto" w:fill="auto"/>
            <w:noWrap/>
            <w:vAlign w:val="center"/>
            <w:hideMark/>
          </w:tcPr>
          <w:p w14:paraId="260B73D4"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1084.504</w:t>
            </w:r>
          </w:p>
        </w:tc>
        <w:tc>
          <w:tcPr>
            <w:tcW w:w="1780" w:type="dxa"/>
            <w:tcBorders>
              <w:top w:val="nil"/>
              <w:left w:val="nil"/>
              <w:bottom w:val="single" w:sz="4" w:space="0" w:color="auto"/>
              <w:right w:val="single" w:sz="4" w:space="0" w:color="auto"/>
            </w:tcBorders>
            <w:shd w:val="clear" w:color="auto" w:fill="auto"/>
            <w:noWrap/>
            <w:vAlign w:val="center"/>
            <w:hideMark/>
          </w:tcPr>
          <w:p w14:paraId="20676016"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1306.670</w:t>
            </w:r>
          </w:p>
        </w:tc>
      </w:tr>
      <w:tr w:rsidR="007B7F83" w:rsidRPr="00795E97" w14:paraId="342FEE13"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6D5B3E"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2020</w:t>
            </w:r>
          </w:p>
        </w:tc>
        <w:tc>
          <w:tcPr>
            <w:tcW w:w="1700" w:type="dxa"/>
            <w:tcBorders>
              <w:top w:val="nil"/>
              <w:left w:val="nil"/>
              <w:bottom w:val="single" w:sz="4" w:space="0" w:color="auto"/>
              <w:right w:val="single" w:sz="4" w:space="0" w:color="auto"/>
            </w:tcBorders>
            <w:shd w:val="clear" w:color="auto" w:fill="auto"/>
            <w:noWrap/>
            <w:vAlign w:val="center"/>
            <w:hideMark/>
          </w:tcPr>
          <w:p w14:paraId="79523143"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944.221</w:t>
            </w:r>
          </w:p>
        </w:tc>
        <w:tc>
          <w:tcPr>
            <w:tcW w:w="2520" w:type="dxa"/>
            <w:tcBorders>
              <w:top w:val="nil"/>
              <w:left w:val="nil"/>
              <w:bottom w:val="single" w:sz="4" w:space="0" w:color="auto"/>
              <w:right w:val="single" w:sz="4" w:space="0" w:color="auto"/>
            </w:tcBorders>
            <w:shd w:val="clear" w:color="auto" w:fill="auto"/>
            <w:noWrap/>
            <w:vAlign w:val="center"/>
            <w:hideMark/>
          </w:tcPr>
          <w:p w14:paraId="6138CC14"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986.585</w:t>
            </w:r>
          </w:p>
        </w:tc>
        <w:tc>
          <w:tcPr>
            <w:tcW w:w="2020" w:type="dxa"/>
            <w:tcBorders>
              <w:top w:val="nil"/>
              <w:left w:val="nil"/>
              <w:bottom w:val="single" w:sz="4" w:space="0" w:color="auto"/>
              <w:right w:val="single" w:sz="4" w:space="0" w:color="auto"/>
            </w:tcBorders>
            <w:shd w:val="clear" w:color="auto" w:fill="auto"/>
            <w:noWrap/>
            <w:vAlign w:val="center"/>
            <w:hideMark/>
          </w:tcPr>
          <w:p w14:paraId="5AF9F51A"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1007.379</w:t>
            </w:r>
          </w:p>
        </w:tc>
        <w:tc>
          <w:tcPr>
            <w:tcW w:w="1780" w:type="dxa"/>
            <w:tcBorders>
              <w:top w:val="nil"/>
              <w:left w:val="nil"/>
              <w:bottom w:val="single" w:sz="4" w:space="0" w:color="auto"/>
              <w:right w:val="single" w:sz="4" w:space="0" w:color="auto"/>
            </w:tcBorders>
            <w:shd w:val="clear" w:color="auto" w:fill="auto"/>
            <w:noWrap/>
            <w:vAlign w:val="center"/>
            <w:hideMark/>
          </w:tcPr>
          <w:p w14:paraId="423CDE7B"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1352.513</w:t>
            </w:r>
          </w:p>
        </w:tc>
      </w:tr>
      <w:tr w:rsidR="007B7F83" w:rsidRPr="00795E97" w14:paraId="076FB269" w14:textId="77777777" w:rsidTr="007B7F8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CD1D2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2021</w:t>
            </w:r>
          </w:p>
        </w:tc>
        <w:tc>
          <w:tcPr>
            <w:tcW w:w="1700" w:type="dxa"/>
            <w:tcBorders>
              <w:top w:val="nil"/>
              <w:left w:val="nil"/>
              <w:bottom w:val="single" w:sz="4" w:space="0" w:color="auto"/>
              <w:right w:val="single" w:sz="4" w:space="0" w:color="auto"/>
            </w:tcBorders>
            <w:shd w:val="clear" w:color="auto" w:fill="auto"/>
            <w:noWrap/>
            <w:vAlign w:val="center"/>
            <w:hideMark/>
          </w:tcPr>
          <w:p w14:paraId="30E346BE"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1081.920</w:t>
            </w:r>
          </w:p>
        </w:tc>
        <w:tc>
          <w:tcPr>
            <w:tcW w:w="2520" w:type="dxa"/>
            <w:tcBorders>
              <w:top w:val="nil"/>
              <w:left w:val="nil"/>
              <w:bottom w:val="single" w:sz="4" w:space="0" w:color="auto"/>
              <w:right w:val="single" w:sz="4" w:space="0" w:color="auto"/>
            </w:tcBorders>
            <w:shd w:val="clear" w:color="auto" w:fill="auto"/>
            <w:noWrap/>
            <w:vAlign w:val="center"/>
            <w:hideMark/>
          </w:tcPr>
          <w:p w14:paraId="1A1DB30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1100.555</w:t>
            </w:r>
          </w:p>
        </w:tc>
        <w:tc>
          <w:tcPr>
            <w:tcW w:w="2020" w:type="dxa"/>
            <w:tcBorders>
              <w:top w:val="nil"/>
              <w:left w:val="nil"/>
              <w:bottom w:val="single" w:sz="4" w:space="0" w:color="auto"/>
              <w:right w:val="single" w:sz="4" w:space="0" w:color="auto"/>
            </w:tcBorders>
            <w:shd w:val="clear" w:color="auto" w:fill="auto"/>
            <w:noWrap/>
            <w:vAlign w:val="center"/>
            <w:hideMark/>
          </w:tcPr>
          <w:p w14:paraId="0068E7E3"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933.914</w:t>
            </w:r>
          </w:p>
        </w:tc>
        <w:tc>
          <w:tcPr>
            <w:tcW w:w="1780" w:type="dxa"/>
            <w:tcBorders>
              <w:top w:val="nil"/>
              <w:left w:val="nil"/>
              <w:bottom w:val="single" w:sz="4" w:space="0" w:color="auto"/>
              <w:right w:val="single" w:sz="4" w:space="0" w:color="auto"/>
            </w:tcBorders>
            <w:shd w:val="clear" w:color="auto" w:fill="auto"/>
            <w:noWrap/>
            <w:vAlign w:val="center"/>
            <w:hideMark/>
          </w:tcPr>
          <w:p w14:paraId="53949D9F"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1168.061</w:t>
            </w:r>
          </w:p>
        </w:tc>
      </w:tr>
      <w:tr w:rsidR="007B7F83" w:rsidRPr="00795E97" w14:paraId="2046028B" w14:textId="77777777" w:rsidTr="007B7F83">
        <w:trPr>
          <w:trHeight w:val="300"/>
        </w:trPr>
        <w:tc>
          <w:tcPr>
            <w:tcW w:w="960" w:type="dxa"/>
            <w:tcBorders>
              <w:top w:val="nil"/>
              <w:left w:val="single" w:sz="4" w:space="0" w:color="auto"/>
              <w:bottom w:val="single" w:sz="4" w:space="0" w:color="auto"/>
              <w:right w:val="single" w:sz="4" w:space="0" w:color="auto"/>
            </w:tcBorders>
            <w:shd w:val="clear" w:color="000000" w:fill="B4C6E7"/>
            <w:noWrap/>
            <w:vAlign w:val="center"/>
            <w:hideMark/>
          </w:tcPr>
          <w:p w14:paraId="631C193E"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2022</w:t>
            </w:r>
          </w:p>
        </w:tc>
        <w:tc>
          <w:tcPr>
            <w:tcW w:w="1700" w:type="dxa"/>
            <w:tcBorders>
              <w:top w:val="nil"/>
              <w:left w:val="nil"/>
              <w:bottom w:val="single" w:sz="4" w:space="0" w:color="auto"/>
              <w:right w:val="single" w:sz="4" w:space="0" w:color="auto"/>
            </w:tcBorders>
            <w:shd w:val="clear" w:color="000000" w:fill="B4C6E7"/>
            <w:noWrap/>
            <w:vAlign w:val="center"/>
            <w:hideMark/>
          </w:tcPr>
          <w:p w14:paraId="48015B14"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1215.577</w:t>
            </w:r>
          </w:p>
        </w:tc>
        <w:tc>
          <w:tcPr>
            <w:tcW w:w="2520" w:type="dxa"/>
            <w:tcBorders>
              <w:top w:val="nil"/>
              <w:left w:val="nil"/>
              <w:bottom w:val="single" w:sz="4" w:space="0" w:color="auto"/>
              <w:right w:val="single" w:sz="4" w:space="0" w:color="auto"/>
            </w:tcBorders>
            <w:shd w:val="clear" w:color="000000" w:fill="B4C6E7"/>
            <w:noWrap/>
            <w:vAlign w:val="center"/>
            <w:hideMark/>
          </w:tcPr>
          <w:p w14:paraId="770FFC42"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1224.741</w:t>
            </w:r>
          </w:p>
        </w:tc>
        <w:tc>
          <w:tcPr>
            <w:tcW w:w="2020" w:type="dxa"/>
            <w:tcBorders>
              <w:top w:val="nil"/>
              <w:left w:val="nil"/>
              <w:bottom w:val="single" w:sz="4" w:space="0" w:color="auto"/>
              <w:right w:val="single" w:sz="4" w:space="0" w:color="auto"/>
            </w:tcBorders>
            <w:shd w:val="clear" w:color="000000" w:fill="B4C6E7"/>
            <w:noWrap/>
            <w:vAlign w:val="center"/>
            <w:hideMark/>
          </w:tcPr>
          <w:p w14:paraId="3B4D62B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948.266</w:t>
            </w:r>
          </w:p>
        </w:tc>
        <w:tc>
          <w:tcPr>
            <w:tcW w:w="1780" w:type="dxa"/>
            <w:tcBorders>
              <w:top w:val="nil"/>
              <w:left w:val="nil"/>
              <w:bottom w:val="single" w:sz="4" w:space="0" w:color="auto"/>
              <w:right w:val="single" w:sz="4" w:space="0" w:color="auto"/>
            </w:tcBorders>
            <w:shd w:val="clear" w:color="000000" w:fill="B4C6E7"/>
            <w:noWrap/>
            <w:vAlign w:val="center"/>
            <w:hideMark/>
          </w:tcPr>
          <w:p w14:paraId="22CFFDBD"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1216.604</w:t>
            </w:r>
          </w:p>
        </w:tc>
      </w:tr>
      <w:tr w:rsidR="007B7F83" w:rsidRPr="00795E97" w14:paraId="3A67A48F" w14:textId="77777777" w:rsidTr="007B7F83">
        <w:trPr>
          <w:trHeight w:val="300"/>
        </w:trPr>
        <w:tc>
          <w:tcPr>
            <w:tcW w:w="960" w:type="dxa"/>
            <w:tcBorders>
              <w:top w:val="nil"/>
              <w:left w:val="single" w:sz="4" w:space="0" w:color="auto"/>
              <w:bottom w:val="single" w:sz="4" w:space="0" w:color="auto"/>
              <w:right w:val="single" w:sz="4" w:space="0" w:color="auto"/>
            </w:tcBorders>
            <w:shd w:val="clear" w:color="000000" w:fill="B4C6E7"/>
            <w:noWrap/>
            <w:vAlign w:val="center"/>
            <w:hideMark/>
          </w:tcPr>
          <w:p w14:paraId="38DC61E4"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2023</w:t>
            </w:r>
          </w:p>
        </w:tc>
        <w:tc>
          <w:tcPr>
            <w:tcW w:w="1700" w:type="dxa"/>
            <w:tcBorders>
              <w:top w:val="nil"/>
              <w:left w:val="nil"/>
              <w:bottom w:val="single" w:sz="4" w:space="0" w:color="auto"/>
              <w:right w:val="single" w:sz="4" w:space="0" w:color="auto"/>
            </w:tcBorders>
            <w:shd w:val="clear" w:color="000000" w:fill="B4C6E7"/>
            <w:noWrap/>
            <w:vAlign w:val="center"/>
            <w:hideMark/>
          </w:tcPr>
          <w:p w14:paraId="79A44808"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1270.362</w:t>
            </w:r>
          </w:p>
        </w:tc>
        <w:tc>
          <w:tcPr>
            <w:tcW w:w="2520" w:type="dxa"/>
            <w:tcBorders>
              <w:top w:val="nil"/>
              <w:left w:val="nil"/>
              <w:bottom w:val="single" w:sz="4" w:space="0" w:color="auto"/>
              <w:right w:val="single" w:sz="4" w:space="0" w:color="auto"/>
            </w:tcBorders>
            <w:shd w:val="clear" w:color="000000" w:fill="B4C6E7"/>
            <w:noWrap/>
            <w:vAlign w:val="center"/>
            <w:hideMark/>
          </w:tcPr>
          <w:p w14:paraId="2E6C63CD"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1289.565</w:t>
            </w:r>
          </w:p>
        </w:tc>
        <w:tc>
          <w:tcPr>
            <w:tcW w:w="2020" w:type="dxa"/>
            <w:tcBorders>
              <w:top w:val="nil"/>
              <w:left w:val="nil"/>
              <w:bottom w:val="single" w:sz="4" w:space="0" w:color="auto"/>
              <w:right w:val="single" w:sz="4" w:space="0" w:color="auto"/>
            </w:tcBorders>
            <w:shd w:val="clear" w:color="000000" w:fill="B4C6E7"/>
            <w:noWrap/>
            <w:vAlign w:val="center"/>
            <w:hideMark/>
          </w:tcPr>
          <w:p w14:paraId="0F3D83EC"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986.589</w:t>
            </w:r>
          </w:p>
        </w:tc>
        <w:tc>
          <w:tcPr>
            <w:tcW w:w="1780" w:type="dxa"/>
            <w:tcBorders>
              <w:top w:val="nil"/>
              <w:left w:val="nil"/>
              <w:bottom w:val="single" w:sz="4" w:space="0" w:color="auto"/>
              <w:right w:val="single" w:sz="4" w:space="0" w:color="auto"/>
            </w:tcBorders>
            <w:shd w:val="clear" w:color="000000" w:fill="B4C6E7"/>
            <w:noWrap/>
            <w:vAlign w:val="center"/>
            <w:hideMark/>
          </w:tcPr>
          <w:p w14:paraId="45FA9D0C"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1259.786</w:t>
            </w:r>
          </w:p>
        </w:tc>
      </w:tr>
      <w:tr w:rsidR="007B7F83" w:rsidRPr="00795E97" w14:paraId="024BDE2B" w14:textId="77777777" w:rsidTr="007B7F83">
        <w:trPr>
          <w:trHeight w:val="300"/>
        </w:trPr>
        <w:tc>
          <w:tcPr>
            <w:tcW w:w="960" w:type="dxa"/>
            <w:tcBorders>
              <w:top w:val="nil"/>
              <w:left w:val="single" w:sz="4" w:space="0" w:color="auto"/>
              <w:bottom w:val="single" w:sz="4" w:space="0" w:color="auto"/>
              <w:right w:val="single" w:sz="4" w:space="0" w:color="auto"/>
            </w:tcBorders>
            <w:shd w:val="clear" w:color="000000" w:fill="B4C6E7"/>
            <w:noWrap/>
            <w:vAlign w:val="center"/>
            <w:hideMark/>
          </w:tcPr>
          <w:p w14:paraId="3520DB90"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2024</w:t>
            </w:r>
          </w:p>
        </w:tc>
        <w:tc>
          <w:tcPr>
            <w:tcW w:w="1700" w:type="dxa"/>
            <w:tcBorders>
              <w:top w:val="nil"/>
              <w:left w:val="nil"/>
              <w:bottom w:val="single" w:sz="4" w:space="0" w:color="auto"/>
              <w:right w:val="single" w:sz="4" w:space="0" w:color="auto"/>
            </w:tcBorders>
            <w:shd w:val="clear" w:color="000000" w:fill="B4C6E7"/>
            <w:noWrap/>
            <w:vAlign w:val="center"/>
            <w:hideMark/>
          </w:tcPr>
          <w:p w14:paraId="4894067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1343.156</w:t>
            </w:r>
          </w:p>
        </w:tc>
        <w:tc>
          <w:tcPr>
            <w:tcW w:w="2520" w:type="dxa"/>
            <w:tcBorders>
              <w:top w:val="nil"/>
              <w:left w:val="nil"/>
              <w:bottom w:val="single" w:sz="4" w:space="0" w:color="auto"/>
              <w:right w:val="single" w:sz="4" w:space="0" w:color="auto"/>
            </w:tcBorders>
            <w:shd w:val="clear" w:color="000000" w:fill="B4C6E7"/>
            <w:noWrap/>
            <w:vAlign w:val="center"/>
            <w:hideMark/>
          </w:tcPr>
          <w:p w14:paraId="71C802CD"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1356.604</w:t>
            </w:r>
          </w:p>
        </w:tc>
        <w:tc>
          <w:tcPr>
            <w:tcW w:w="2020" w:type="dxa"/>
            <w:tcBorders>
              <w:top w:val="nil"/>
              <w:left w:val="nil"/>
              <w:bottom w:val="single" w:sz="4" w:space="0" w:color="auto"/>
              <w:right w:val="single" w:sz="4" w:space="0" w:color="auto"/>
            </w:tcBorders>
            <w:shd w:val="clear" w:color="000000" w:fill="B4C6E7"/>
            <w:noWrap/>
            <w:vAlign w:val="center"/>
            <w:hideMark/>
          </w:tcPr>
          <w:p w14:paraId="212065F0"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1032.582</w:t>
            </w:r>
          </w:p>
        </w:tc>
        <w:tc>
          <w:tcPr>
            <w:tcW w:w="1780" w:type="dxa"/>
            <w:tcBorders>
              <w:top w:val="nil"/>
              <w:left w:val="nil"/>
              <w:bottom w:val="single" w:sz="4" w:space="0" w:color="auto"/>
              <w:right w:val="single" w:sz="4" w:space="0" w:color="auto"/>
            </w:tcBorders>
            <w:shd w:val="clear" w:color="000000" w:fill="B4C6E7"/>
            <w:noWrap/>
            <w:vAlign w:val="center"/>
            <w:hideMark/>
          </w:tcPr>
          <w:p w14:paraId="72F37E94"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1306.458</w:t>
            </w:r>
          </w:p>
        </w:tc>
      </w:tr>
      <w:tr w:rsidR="007B7F83" w:rsidRPr="00795E97" w14:paraId="073D1CC5" w14:textId="77777777" w:rsidTr="007B7F83">
        <w:trPr>
          <w:trHeight w:val="300"/>
        </w:trPr>
        <w:tc>
          <w:tcPr>
            <w:tcW w:w="960" w:type="dxa"/>
            <w:tcBorders>
              <w:top w:val="nil"/>
              <w:left w:val="single" w:sz="4" w:space="0" w:color="auto"/>
              <w:bottom w:val="single" w:sz="4" w:space="0" w:color="auto"/>
              <w:right w:val="single" w:sz="4" w:space="0" w:color="auto"/>
            </w:tcBorders>
            <w:shd w:val="clear" w:color="000000" w:fill="B4C6E7"/>
            <w:noWrap/>
            <w:vAlign w:val="center"/>
            <w:hideMark/>
          </w:tcPr>
          <w:p w14:paraId="3396C867"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2025</w:t>
            </w:r>
          </w:p>
        </w:tc>
        <w:tc>
          <w:tcPr>
            <w:tcW w:w="1700" w:type="dxa"/>
            <w:tcBorders>
              <w:top w:val="nil"/>
              <w:left w:val="nil"/>
              <w:bottom w:val="single" w:sz="4" w:space="0" w:color="auto"/>
              <w:right w:val="single" w:sz="4" w:space="0" w:color="auto"/>
            </w:tcBorders>
            <w:shd w:val="clear" w:color="000000" w:fill="B4C6E7"/>
            <w:noWrap/>
            <w:vAlign w:val="center"/>
            <w:hideMark/>
          </w:tcPr>
          <w:p w14:paraId="3A92D46A"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1421.152</w:t>
            </w:r>
          </w:p>
        </w:tc>
        <w:tc>
          <w:tcPr>
            <w:tcW w:w="2520" w:type="dxa"/>
            <w:tcBorders>
              <w:top w:val="nil"/>
              <w:left w:val="nil"/>
              <w:bottom w:val="single" w:sz="4" w:space="0" w:color="auto"/>
              <w:right w:val="single" w:sz="4" w:space="0" w:color="auto"/>
            </w:tcBorders>
            <w:shd w:val="clear" w:color="000000" w:fill="B4C6E7"/>
            <w:noWrap/>
            <w:vAlign w:val="center"/>
            <w:hideMark/>
          </w:tcPr>
          <w:p w14:paraId="2DEBAB71"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1426.762</w:t>
            </w:r>
          </w:p>
        </w:tc>
        <w:tc>
          <w:tcPr>
            <w:tcW w:w="2020" w:type="dxa"/>
            <w:tcBorders>
              <w:top w:val="nil"/>
              <w:left w:val="nil"/>
              <w:bottom w:val="single" w:sz="4" w:space="0" w:color="auto"/>
              <w:right w:val="single" w:sz="4" w:space="0" w:color="auto"/>
            </w:tcBorders>
            <w:shd w:val="clear" w:color="000000" w:fill="B4C6E7"/>
            <w:noWrap/>
            <w:vAlign w:val="center"/>
            <w:hideMark/>
          </w:tcPr>
          <w:p w14:paraId="451CEC16"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1083.242</w:t>
            </w:r>
          </w:p>
        </w:tc>
        <w:tc>
          <w:tcPr>
            <w:tcW w:w="1780" w:type="dxa"/>
            <w:tcBorders>
              <w:top w:val="nil"/>
              <w:left w:val="nil"/>
              <w:bottom w:val="single" w:sz="4" w:space="0" w:color="auto"/>
              <w:right w:val="single" w:sz="4" w:space="0" w:color="auto"/>
            </w:tcBorders>
            <w:shd w:val="clear" w:color="000000" w:fill="B4C6E7"/>
            <w:noWrap/>
            <w:vAlign w:val="center"/>
            <w:hideMark/>
          </w:tcPr>
          <w:p w14:paraId="0199E043" w14:textId="77777777" w:rsidR="007B7F83" w:rsidRPr="00795E97" w:rsidRDefault="007B7F83" w:rsidP="007B7F83">
            <w:pPr>
              <w:spacing w:after="0" w:line="240" w:lineRule="auto"/>
              <w:jc w:val="center"/>
              <w:rPr>
                <w:rFonts w:ascii="Calibri" w:eastAsia="Times New Roman" w:hAnsi="Calibri" w:cs="Calibri"/>
                <w:color w:val="000000"/>
              </w:rPr>
            </w:pPr>
            <w:r w:rsidRPr="00795E97">
              <w:rPr>
                <w:rFonts w:ascii="Calibri" w:eastAsia="Times New Roman" w:hAnsi="Calibri" w:cs="Calibri"/>
                <w:color w:val="000000"/>
              </w:rPr>
              <w:t>1358.856</w:t>
            </w:r>
          </w:p>
        </w:tc>
      </w:tr>
    </w:tbl>
    <w:p w14:paraId="517EE3B8" w14:textId="53438F76" w:rsidR="00FA6A09" w:rsidRPr="00B97AB2" w:rsidRDefault="00370830" w:rsidP="00EB0955">
      <w:pPr>
        <w:jc w:val="both"/>
      </w:pPr>
      <w:r w:rsidRPr="00B97AB2">
        <w:t xml:space="preserve">The following table contains </w:t>
      </w:r>
      <w:r w:rsidR="00B97AB2" w:rsidRPr="00B97AB2">
        <w:t>the annualized quarterly forecasts for revenue current, total revenue and grants, expenditure current and total expenditures.</w:t>
      </w:r>
      <w:r w:rsidR="00604DD0">
        <w:t xml:space="preserve"> Note that </w:t>
      </w:r>
      <w:r w:rsidR="007B7F83">
        <w:t xml:space="preserve">the blue areas are the forecasts and for the year 2022 only the last two quarters are forecasted. </w:t>
      </w:r>
    </w:p>
    <w:sectPr w:rsidR="00FA6A09" w:rsidRPr="00B97AB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8047D"/>
    <w:multiLevelType w:val="hybridMultilevel"/>
    <w:tmpl w:val="B0BA4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768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48"/>
    <w:rsid w:val="0001590C"/>
    <w:rsid w:val="00035255"/>
    <w:rsid w:val="000B45C2"/>
    <w:rsid w:val="00183784"/>
    <w:rsid w:val="001A0AD6"/>
    <w:rsid w:val="001B470B"/>
    <w:rsid w:val="0025789F"/>
    <w:rsid w:val="002905FC"/>
    <w:rsid w:val="002A45B6"/>
    <w:rsid w:val="002B7AE6"/>
    <w:rsid w:val="003014CC"/>
    <w:rsid w:val="00320205"/>
    <w:rsid w:val="00370830"/>
    <w:rsid w:val="003B3EB6"/>
    <w:rsid w:val="004402B5"/>
    <w:rsid w:val="004E2621"/>
    <w:rsid w:val="004F497C"/>
    <w:rsid w:val="00604DD0"/>
    <w:rsid w:val="006E7EED"/>
    <w:rsid w:val="006F2969"/>
    <w:rsid w:val="007030D5"/>
    <w:rsid w:val="00732D48"/>
    <w:rsid w:val="00795E97"/>
    <w:rsid w:val="00796DE8"/>
    <w:rsid w:val="007B7F83"/>
    <w:rsid w:val="00817D6F"/>
    <w:rsid w:val="008D2EBA"/>
    <w:rsid w:val="00923383"/>
    <w:rsid w:val="009A7E6E"/>
    <w:rsid w:val="009B27E6"/>
    <w:rsid w:val="009F258F"/>
    <w:rsid w:val="009F797C"/>
    <w:rsid w:val="00A14760"/>
    <w:rsid w:val="00A33E0C"/>
    <w:rsid w:val="00AB7157"/>
    <w:rsid w:val="00B145CD"/>
    <w:rsid w:val="00B237B7"/>
    <w:rsid w:val="00B81842"/>
    <w:rsid w:val="00B97AB2"/>
    <w:rsid w:val="00BD143C"/>
    <w:rsid w:val="00C22A1E"/>
    <w:rsid w:val="00C94C31"/>
    <w:rsid w:val="00CA13C8"/>
    <w:rsid w:val="00CB6CD0"/>
    <w:rsid w:val="00D3242D"/>
    <w:rsid w:val="00D76548"/>
    <w:rsid w:val="00D969C1"/>
    <w:rsid w:val="00DE2BEB"/>
    <w:rsid w:val="00DF6CFF"/>
    <w:rsid w:val="00DF7F24"/>
    <w:rsid w:val="00E62EF5"/>
    <w:rsid w:val="00E638A2"/>
    <w:rsid w:val="00EB0955"/>
    <w:rsid w:val="00EB11AA"/>
    <w:rsid w:val="00F3208B"/>
    <w:rsid w:val="00F42667"/>
    <w:rsid w:val="00F42F92"/>
    <w:rsid w:val="00F7164F"/>
    <w:rsid w:val="00F7486F"/>
    <w:rsid w:val="00F946C6"/>
    <w:rsid w:val="00FA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AAD7"/>
  <w15:chartTrackingRefBased/>
  <w15:docId w15:val="{272E2FEF-1C60-45BA-A8BC-1BB4203A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548"/>
    <w:pPr>
      <w:ind w:left="720"/>
      <w:contextualSpacing/>
    </w:pPr>
  </w:style>
  <w:style w:type="table" w:styleId="TableGrid">
    <w:name w:val="Table Grid"/>
    <w:basedOn w:val="TableNormal"/>
    <w:uiPriority w:val="39"/>
    <w:rsid w:val="00320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0A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3537">
      <w:bodyDiv w:val="1"/>
      <w:marLeft w:val="0"/>
      <w:marRight w:val="0"/>
      <w:marTop w:val="0"/>
      <w:marBottom w:val="0"/>
      <w:divBdr>
        <w:top w:val="none" w:sz="0" w:space="0" w:color="auto"/>
        <w:left w:val="none" w:sz="0" w:space="0" w:color="auto"/>
        <w:bottom w:val="none" w:sz="0" w:space="0" w:color="auto"/>
        <w:right w:val="none" w:sz="0" w:space="0" w:color="auto"/>
      </w:divBdr>
    </w:div>
    <w:div w:id="472648653">
      <w:bodyDiv w:val="1"/>
      <w:marLeft w:val="0"/>
      <w:marRight w:val="0"/>
      <w:marTop w:val="0"/>
      <w:marBottom w:val="0"/>
      <w:divBdr>
        <w:top w:val="none" w:sz="0" w:space="0" w:color="auto"/>
        <w:left w:val="none" w:sz="0" w:space="0" w:color="auto"/>
        <w:bottom w:val="none" w:sz="0" w:space="0" w:color="auto"/>
        <w:right w:val="none" w:sz="0" w:space="0" w:color="auto"/>
      </w:divBdr>
    </w:div>
    <w:div w:id="1988127888">
      <w:bodyDiv w:val="1"/>
      <w:marLeft w:val="0"/>
      <w:marRight w:val="0"/>
      <w:marTop w:val="0"/>
      <w:marBottom w:val="0"/>
      <w:divBdr>
        <w:top w:val="none" w:sz="0" w:space="0" w:color="auto"/>
        <w:left w:val="none" w:sz="0" w:space="0" w:color="auto"/>
        <w:bottom w:val="none" w:sz="0" w:space="0" w:color="auto"/>
        <w:right w:val="none" w:sz="0" w:space="0" w:color="auto"/>
      </w:divBdr>
    </w:div>
    <w:div w:id="209704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naledu-my.sharepoint.com/personal/msramirezgo_unal_edu_co/Documents/Oliver%20Pardo/VAR_VEC-2023/Quarterly%20Forecasting/Quarterly_Foreca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aledu-my.sharepoint.com/personal/msramirezgo_unal_edu_co/Documents/Oliver%20Pardo/VAR_VEC-2023/Quarterly%20Forecasting/Quarterly_Foreca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aledu-my.sharepoint.com/personal/msramirezgo_unal_edu_co/Documents/Oliver%20Pardo/VAR_VEC-2023/Quarterly%20Forecasting/Quarterly_Foreca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aledu-my.sharepoint.com/personal/msramirezgo_unal_edu_co/Documents/Oliver%20Pardo/VAR_VEC-2023/Quarterly%20Forecasting/Quarterly_Forecas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Revenue Current</a:t>
            </a:r>
            <a:r>
              <a:rPr lang="en-US" sz="1600" b="1" i="0" u="none" strike="noStrike" baseline="0"/>
              <a:t> </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'Revenue Current Yearly'!$B$1</c:f>
              <c:strCache>
                <c:ptCount val="1"/>
                <c:pt idx="0">
                  <c:v>Revenue Current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'Revenue Current Yearly'!$A$2:$A$27</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'Revenue Current Yearly'!$B$2:$B$27</c:f>
              <c:numCache>
                <c:formatCode>0.000</c:formatCode>
                <c:ptCount val="26"/>
                <c:pt idx="0">
                  <c:v>349.79400000000004</c:v>
                </c:pt>
                <c:pt idx="1">
                  <c:v>372.053</c:v>
                </c:pt>
                <c:pt idx="2">
                  <c:v>425.75700000000006</c:v>
                </c:pt>
                <c:pt idx="3">
                  <c:v>421.82199999999995</c:v>
                </c:pt>
                <c:pt idx="4">
                  <c:v>461.99299999999994</c:v>
                </c:pt>
                <c:pt idx="5">
                  <c:v>511.47</c:v>
                </c:pt>
                <c:pt idx="6">
                  <c:v>565.94900000000007</c:v>
                </c:pt>
                <c:pt idx="7">
                  <c:v>651.46500000000003</c:v>
                </c:pt>
                <c:pt idx="8">
                  <c:v>732.34400000000005</c:v>
                </c:pt>
                <c:pt idx="9">
                  <c:v>660.27417198000001</c:v>
                </c:pt>
                <c:pt idx="10">
                  <c:v>753.76814981488076</c:v>
                </c:pt>
                <c:pt idx="11">
                  <c:v>786.98607629000003</c:v>
                </c:pt>
                <c:pt idx="12">
                  <c:v>825.60152360000006</c:v>
                </c:pt>
                <c:pt idx="13">
                  <c:v>851.58038990000011</c:v>
                </c:pt>
                <c:pt idx="14">
                  <c:v>911.66845306099981</c:v>
                </c:pt>
                <c:pt idx="15">
                  <c:v>993.98549002000016</c:v>
                </c:pt>
                <c:pt idx="16">
                  <c:v>1002.5766254499999</c:v>
                </c:pt>
                <c:pt idx="17">
                  <c:v>1047.93041249</c:v>
                </c:pt>
                <c:pt idx="18">
                  <c:v>1139.3689157599999</c:v>
                </c:pt>
                <c:pt idx="19">
                  <c:v>1147.6998944599998</c:v>
                </c:pt>
                <c:pt idx="20">
                  <c:v>944.22107749999998</c:v>
                </c:pt>
                <c:pt idx="21">
                  <c:v>1081.9198835100001</c:v>
                </c:pt>
                <c:pt idx="22">
                  <c:v>1215.5774458772098</c:v>
                </c:pt>
                <c:pt idx="23">
                  <c:v>1270.3620312106525</c:v>
                </c:pt>
                <c:pt idx="24">
                  <c:v>1343.1556196759075</c:v>
                </c:pt>
                <c:pt idx="25">
                  <c:v>1421.1522053151734</c:v>
                </c:pt>
              </c:numCache>
            </c:numRef>
          </c:val>
          <c:smooth val="0"/>
          <c:extLst>
            <c:ext xmlns:c16="http://schemas.microsoft.com/office/drawing/2014/chart" uri="{C3380CC4-5D6E-409C-BE32-E72D297353CC}">
              <c16:uniqueId val="{00000000-D6F5-4E2A-B759-6991521C8A6D}"/>
            </c:ext>
          </c:extLst>
        </c:ser>
        <c:ser>
          <c:idx val="2"/>
          <c:order val="2"/>
          <c:tx>
            <c:strRef>
              <c:f>'Revenue Current Yearly'!$C$1</c:f>
              <c:strCache>
                <c:ptCount val="1"/>
                <c:pt idx="0">
                  <c:v>Lower Bound</c:v>
                </c:pt>
              </c:strCache>
            </c:strRef>
          </c:tx>
          <c:spPr>
            <a:ln w="34925" cap="rnd">
              <a:solidFill>
                <a:schemeClr val="accent1">
                  <a:lumMod val="60000"/>
                  <a:lumOff val="40000"/>
                </a:schemeClr>
              </a:solidFill>
              <a:prstDash val="sysDot"/>
              <a:round/>
            </a:ln>
            <a:effectLst>
              <a:outerShdw blurRad="57150" dist="19050" dir="5400000" algn="ctr" rotWithShape="0">
                <a:srgbClr val="000000">
                  <a:alpha val="63000"/>
                </a:srgbClr>
              </a:outerShdw>
            </a:effectLst>
          </c:spPr>
          <c:marker>
            <c:symbol val="none"/>
          </c:marker>
          <c:cat>
            <c:numRef>
              <c:f>'Revenue Current Yearly'!$A$2:$A$27</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'Revenue Current Yearly'!$C$2:$C$27</c:f>
              <c:numCache>
                <c:formatCode>0.000</c:formatCode>
                <c:ptCount val="26"/>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1081.9198835100001</c:v>
                </c:pt>
                <c:pt idx="22">
                  <c:v>1088.5464155733139</c:v>
                </c:pt>
                <c:pt idx="23">
                  <c:v>1142.8181744548742</c:v>
                </c:pt>
                <c:pt idx="24">
                  <c:v>1215.207135737086</c:v>
                </c:pt>
                <c:pt idx="25">
                  <c:v>1291.0186992710678</c:v>
                </c:pt>
              </c:numCache>
            </c:numRef>
          </c:val>
          <c:smooth val="0"/>
          <c:extLst>
            <c:ext xmlns:c16="http://schemas.microsoft.com/office/drawing/2014/chart" uri="{C3380CC4-5D6E-409C-BE32-E72D297353CC}">
              <c16:uniqueId val="{00000001-D6F5-4E2A-B759-6991521C8A6D}"/>
            </c:ext>
          </c:extLst>
        </c:ser>
        <c:ser>
          <c:idx val="3"/>
          <c:order val="3"/>
          <c:tx>
            <c:strRef>
              <c:f>'Revenue Current Yearly'!$D$1</c:f>
              <c:strCache>
                <c:ptCount val="1"/>
                <c:pt idx="0">
                  <c:v>Upper Bound</c:v>
                </c:pt>
              </c:strCache>
            </c:strRef>
          </c:tx>
          <c:spPr>
            <a:ln w="34925" cap="rnd">
              <a:solidFill>
                <a:schemeClr val="accent1">
                  <a:lumMod val="60000"/>
                  <a:lumOff val="40000"/>
                </a:schemeClr>
              </a:solidFill>
              <a:prstDash val="sysDot"/>
              <a:round/>
            </a:ln>
            <a:effectLst>
              <a:outerShdw blurRad="57150" dist="19050" dir="5400000" algn="ctr" rotWithShape="0">
                <a:srgbClr val="000000">
                  <a:alpha val="63000"/>
                </a:srgbClr>
              </a:outerShdw>
            </a:effectLst>
          </c:spPr>
          <c:marker>
            <c:symbol val="none"/>
          </c:marker>
          <c:cat>
            <c:numRef>
              <c:f>'Revenue Current Yearly'!$A$2:$A$27</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'Revenue Current Yearly'!$D$2:$D$27</c:f>
              <c:numCache>
                <c:formatCode>0.000</c:formatCode>
                <c:ptCount val="26"/>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1081.9198835100001</c:v>
                </c:pt>
                <c:pt idx="22">
                  <c:v>1342.6084761811057</c:v>
                </c:pt>
                <c:pt idx="23">
                  <c:v>1397.9058879664308</c:v>
                </c:pt>
                <c:pt idx="24">
                  <c:v>1471.104103614729</c:v>
                </c:pt>
                <c:pt idx="25">
                  <c:v>1551.285711359279</c:v>
                </c:pt>
              </c:numCache>
            </c:numRef>
          </c:val>
          <c:smooth val="0"/>
          <c:extLst>
            <c:ext xmlns:c16="http://schemas.microsoft.com/office/drawing/2014/chart" uri="{C3380CC4-5D6E-409C-BE32-E72D297353CC}">
              <c16:uniqueId val="{00000002-D6F5-4E2A-B759-6991521C8A6D}"/>
            </c:ext>
          </c:extLst>
        </c:ser>
        <c:dLbls>
          <c:showLegendKey val="0"/>
          <c:showVal val="0"/>
          <c:showCatName val="0"/>
          <c:showSerName val="0"/>
          <c:showPercent val="0"/>
          <c:showBubbleSize val="0"/>
        </c:dLbls>
        <c:smooth val="0"/>
        <c:axId val="215766575"/>
        <c:axId val="215766991"/>
        <c:extLst>
          <c:ext xmlns:c15="http://schemas.microsoft.com/office/drawing/2012/chart" uri="{02D57815-91ED-43cb-92C2-25804820EDAC}">
            <c15:filteredLineSeries>
              <c15:ser>
                <c:idx val="0"/>
                <c:order val="0"/>
                <c:tx>
                  <c:strRef>
                    <c:extLst>
                      <c:ext uri="{02D57815-91ED-43cb-92C2-25804820EDAC}">
                        <c15:formulaRef>
                          <c15:sqref>'Revenue Current Yearly'!$A$1</c15:sqref>
                        </c15:formulaRef>
                      </c:ext>
                    </c:extLst>
                    <c:strCache>
                      <c:ptCount val="1"/>
                      <c:pt idx="0">
                        <c:v>Year</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'Revenue Current Yearly'!$A$2:$A$27</c15:sqref>
                        </c15:formulaRef>
                      </c:ext>
                    </c:extLst>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extLst>
                      <c:ext uri="{02D57815-91ED-43cb-92C2-25804820EDAC}">
                        <c15:formulaRef>
                          <c15:sqref>'Revenue Current Yearly'!$A$2:$A$27</c15:sqref>
                        </c15:formulaRef>
                      </c:ext>
                    </c:extLst>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val>
                <c:smooth val="0"/>
                <c:extLst>
                  <c:ext xmlns:c16="http://schemas.microsoft.com/office/drawing/2014/chart" uri="{C3380CC4-5D6E-409C-BE32-E72D297353CC}">
                    <c16:uniqueId val="{00000003-D6F5-4E2A-B759-6991521C8A6D}"/>
                  </c:ext>
                </c:extLst>
              </c15:ser>
            </c15:filteredLineSeries>
          </c:ext>
        </c:extLst>
      </c:lineChart>
      <c:catAx>
        <c:axId val="21576657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66991"/>
        <c:crosses val="autoZero"/>
        <c:auto val="1"/>
        <c:lblAlgn val="ctr"/>
        <c:lblOffset val="100"/>
        <c:noMultiLvlLbl val="0"/>
      </c:catAx>
      <c:valAx>
        <c:axId val="21576699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66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Total Revenue and Grants</a:t>
            </a:r>
            <a:r>
              <a:rPr lang="en-US" sz="1600" b="1" i="0" u="none" strike="noStrike" baseline="0"/>
              <a:t> </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'Total Revenue and Grants Yearly'!$B$1</c:f>
              <c:strCache>
                <c:ptCount val="1"/>
                <c:pt idx="0">
                  <c:v>Total Revenue and Grants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'Total Revenue and Grants Yearly'!$A$2:$A$27</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'Total Revenue and Grants Yearly'!$B$2:$B$27</c:f>
              <c:numCache>
                <c:formatCode>0.000</c:formatCode>
                <c:ptCount val="26"/>
                <c:pt idx="0">
                  <c:v>415.96800000000007</c:v>
                </c:pt>
                <c:pt idx="1">
                  <c:v>458.64500000000004</c:v>
                </c:pt>
                <c:pt idx="2">
                  <c:v>478.92700000000002</c:v>
                </c:pt>
                <c:pt idx="3">
                  <c:v>453.036</c:v>
                </c:pt>
                <c:pt idx="4">
                  <c:v>519.16999999999985</c:v>
                </c:pt>
                <c:pt idx="5">
                  <c:v>531.93999999999994</c:v>
                </c:pt>
                <c:pt idx="6">
                  <c:v>601.21699999999987</c:v>
                </c:pt>
                <c:pt idx="7">
                  <c:v>765.66599999999983</c:v>
                </c:pt>
                <c:pt idx="8">
                  <c:v>803.64199999999983</c:v>
                </c:pt>
                <c:pt idx="9">
                  <c:v>699.02092215000027</c:v>
                </c:pt>
                <c:pt idx="10">
                  <c:v>769.52165413488069</c:v>
                </c:pt>
                <c:pt idx="11">
                  <c:v>816.18445980000013</c:v>
                </c:pt>
                <c:pt idx="12">
                  <c:v>877.60812219000002</c:v>
                </c:pt>
                <c:pt idx="13">
                  <c:v>884.94116020000001</c:v>
                </c:pt>
                <c:pt idx="14">
                  <c:v>1000.364199651</c:v>
                </c:pt>
                <c:pt idx="15">
                  <c:v>1022.2913205299997</c:v>
                </c:pt>
                <c:pt idx="16">
                  <c:v>1039.4190527299997</c:v>
                </c:pt>
                <c:pt idx="17">
                  <c:v>1074.2325688299998</c:v>
                </c:pt>
                <c:pt idx="18">
                  <c:v>1193.7030679899999</c:v>
                </c:pt>
                <c:pt idx="19">
                  <c:v>1176.3436359100001</c:v>
                </c:pt>
                <c:pt idx="20">
                  <c:v>986.58527310999978</c:v>
                </c:pt>
                <c:pt idx="21">
                  <c:v>1100.5553590000002</c:v>
                </c:pt>
                <c:pt idx="22">
                  <c:v>1224.7405026134306</c:v>
                </c:pt>
                <c:pt idx="23">
                  <c:v>1289.564558095261</c:v>
                </c:pt>
                <c:pt idx="24">
                  <c:v>1356.6039022249129</c:v>
                </c:pt>
                <c:pt idx="25">
                  <c:v>1426.7620831950669</c:v>
                </c:pt>
              </c:numCache>
            </c:numRef>
          </c:val>
          <c:smooth val="0"/>
          <c:extLst>
            <c:ext xmlns:c16="http://schemas.microsoft.com/office/drawing/2014/chart" uri="{C3380CC4-5D6E-409C-BE32-E72D297353CC}">
              <c16:uniqueId val="{00000000-9920-44CA-A97B-A31529E21928}"/>
            </c:ext>
          </c:extLst>
        </c:ser>
        <c:ser>
          <c:idx val="2"/>
          <c:order val="2"/>
          <c:tx>
            <c:strRef>
              <c:f>'Total Revenue and Grants Yearly'!$C$1</c:f>
              <c:strCache>
                <c:ptCount val="1"/>
                <c:pt idx="0">
                  <c:v>Lower Bound</c:v>
                </c:pt>
              </c:strCache>
            </c:strRef>
          </c:tx>
          <c:spPr>
            <a:ln w="34925" cap="rnd">
              <a:solidFill>
                <a:schemeClr val="accent1">
                  <a:lumMod val="60000"/>
                  <a:lumOff val="40000"/>
                </a:schemeClr>
              </a:solidFill>
              <a:prstDash val="sysDot"/>
              <a:round/>
            </a:ln>
            <a:effectLst>
              <a:outerShdw blurRad="57150" dist="19050" dir="5400000" algn="ctr" rotWithShape="0">
                <a:srgbClr val="000000">
                  <a:alpha val="63000"/>
                </a:srgbClr>
              </a:outerShdw>
            </a:effectLst>
          </c:spPr>
          <c:marker>
            <c:symbol val="none"/>
          </c:marker>
          <c:cat>
            <c:numRef>
              <c:f>'Total Revenue and Grants Yearly'!$A$2:$A$27</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'Total Revenue and Grants Yearly'!$C$2:$C$27</c:f>
              <c:numCache>
                <c:formatCode>0.000</c:formatCode>
                <c:ptCount val="26"/>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1100.5553590000002</c:v>
                </c:pt>
                <c:pt idx="22">
                  <c:v>1101.0114206274015</c:v>
                </c:pt>
                <c:pt idx="23">
                  <c:v>1165.9218551402457</c:v>
                </c:pt>
                <c:pt idx="24">
                  <c:v>1231.7965590643082</c:v>
                </c:pt>
                <c:pt idx="25">
                  <c:v>1300.3546701482462</c:v>
                </c:pt>
              </c:numCache>
            </c:numRef>
          </c:val>
          <c:smooth val="0"/>
          <c:extLst>
            <c:ext xmlns:c16="http://schemas.microsoft.com/office/drawing/2014/chart" uri="{C3380CC4-5D6E-409C-BE32-E72D297353CC}">
              <c16:uniqueId val="{00000001-9920-44CA-A97B-A31529E21928}"/>
            </c:ext>
          </c:extLst>
        </c:ser>
        <c:ser>
          <c:idx val="3"/>
          <c:order val="3"/>
          <c:tx>
            <c:strRef>
              <c:f>'Total Revenue and Grants Yearly'!$D$1</c:f>
              <c:strCache>
                <c:ptCount val="1"/>
                <c:pt idx="0">
                  <c:v>Upper Bound</c:v>
                </c:pt>
              </c:strCache>
            </c:strRef>
          </c:tx>
          <c:spPr>
            <a:ln w="34925" cap="rnd">
              <a:solidFill>
                <a:schemeClr val="accent1">
                  <a:lumMod val="60000"/>
                  <a:lumOff val="40000"/>
                </a:schemeClr>
              </a:solidFill>
              <a:prstDash val="sysDot"/>
              <a:round/>
            </a:ln>
            <a:effectLst>
              <a:outerShdw blurRad="57150" dist="19050" dir="5400000" algn="ctr" rotWithShape="0">
                <a:srgbClr val="000000">
                  <a:alpha val="63000"/>
                </a:srgbClr>
              </a:outerShdw>
            </a:effectLst>
          </c:spPr>
          <c:marker>
            <c:symbol val="none"/>
          </c:marker>
          <c:cat>
            <c:numRef>
              <c:f>'Total Revenue and Grants Yearly'!$A$2:$A$27</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'Total Revenue and Grants Yearly'!$D$2:$D$27</c:f>
              <c:numCache>
                <c:formatCode>0.000</c:formatCode>
                <c:ptCount val="26"/>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1100.5553590000002</c:v>
                </c:pt>
                <c:pt idx="22">
                  <c:v>1348.4695845994597</c:v>
                </c:pt>
                <c:pt idx="23">
                  <c:v>1413.2072610502762</c:v>
                </c:pt>
                <c:pt idx="24">
                  <c:v>1481.4112453855175</c:v>
                </c:pt>
                <c:pt idx="25">
                  <c:v>1553.1694962418876</c:v>
                </c:pt>
              </c:numCache>
            </c:numRef>
          </c:val>
          <c:smooth val="0"/>
          <c:extLst>
            <c:ext xmlns:c16="http://schemas.microsoft.com/office/drawing/2014/chart" uri="{C3380CC4-5D6E-409C-BE32-E72D297353CC}">
              <c16:uniqueId val="{00000002-9920-44CA-A97B-A31529E21928}"/>
            </c:ext>
          </c:extLst>
        </c:ser>
        <c:dLbls>
          <c:showLegendKey val="0"/>
          <c:showVal val="0"/>
          <c:showCatName val="0"/>
          <c:showSerName val="0"/>
          <c:showPercent val="0"/>
          <c:showBubbleSize val="0"/>
        </c:dLbls>
        <c:smooth val="0"/>
        <c:axId val="215766575"/>
        <c:axId val="215766991"/>
        <c:extLst>
          <c:ext xmlns:c15="http://schemas.microsoft.com/office/drawing/2012/chart" uri="{02D57815-91ED-43cb-92C2-25804820EDAC}">
            <c15:filteredLineSeries>
              <c15:ser>
                <c:idx val="0"/>
                <c:order val="0"/>
                <c:tx>
                  <c:strRef>
                    <c:extLst>
                      <c:ext uri="{02D57815-91ED-43cb-92C2-25804820EDAC}">
                        <c15:formulaRef>
                          <c15:sqref>'Total Revenue and Grants Yearly'!$A$1</c15:sqref>
                        </c15:formulaRef>
                      </c:ext>
                    </c:extLst>
                    <c:strCache>
                      <c:ptCount val="1"/>
                      <c:pt idx="0">
                        <c:v>Year</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'Total Revenue and Grants Yearly'!$A$2:$A$27</c15:sqref>
                        </c15:formulaRef>
                      </c:ext>
                    </c:extLst>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extLst>
                      <c:ext uri="{02D57815-91ED-43cb-92C2-25804820EDAC}">
                        <c15:formulaRef>
                          <c15:sqref>'Total Revenue and Grants Yearly'!$A$2:$A$27</c15:sqref>
                        </c15:formulaRef>
                      </c:ext>
                    </c:extLst>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val>
                <c:smooth val="0"/>
                <c:extLst>
                  <c:ext xmlns:c16="http://schemas.microsoft.com/office/drawing/2014/chart" uri="{C3380CC4-5D6E-409C-BE32-E72D297353CC}">
                    <c16:uniqueId val="{00000003-9920-44CA-A97B-A31529E21928}"/>
                  </c:ext>
                </c:extLst>
              </c15:ser>
            </c15:filteredLineSeries>
          </c:ext>
        </c:extLst>
      </c:lineChart>
      <c:catAx>
        <c:axId val="21576657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66991"/>
        <c:crosses val="autoZero"/>
        <c:auto val="1"/>
        <c:lblAlgn val="ctr"/>
        <c:lblOffset val="100"/>
        <c:noMultiLvlLbl val="0"/>
      </c:catAx>
      <c:valAx>
        <c:axId val="21576699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66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Expenditure Current</a:t>
            </a:r>
            <a:r>
              <a:rPr lang="en-US" sz="1600" b="1" i="0" u="none" strike="noStrike" baseline="0"/>
              <a:t> </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'Expenditure Current Yearly'!$B$1</c:f>
              <c:strCache>
                <c:ptCount val="1"/>
                <c:pt idx="0">
                  <c:v>Expenditure Current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'Expenditure Current Yearly'!$A$2:$A$27</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'Expenditure Current Yearly'!$B$2:$B$27</c:f>
              <c:numCache>
                <c:formatCode>0.000</c:formatCode>
                <c:ptCount val="26"/>
                <c:pt idx="0">
                  <c:v>308.36500000000001</c:v>
                </c:pt>
                <c:pt idx="1">
                  <c:v>333.66499999999996</c:v>
                </c:pt>
                <c:pt idx="2">
                  <c:v>333.44300000000004</c:v>
                </c:pt>
                <c:pt idx="3">
                  <c:v>421.82199999999995</c:v>
                </c:pt>
                <c:pt idx="4">
                  <c:v>467.68400000000008</c:v>
                </c:pt>
                <c:pt idx="5">
                  <c:v>561.15100000000007</c:v>
                </c:pt>
                <c:pt idx="6">
                  <c:v>550.83300000000008</c:v>
                </c:pt>
                <c:pt idx="7">
                  <c:v>636.11899999999991</c:v>
                </c:pt>
                <c:pt idx="8">
                  <c:v>617.85900000000004</c:v>
                </c:pt>
                <c:pt idx="9">
                  <c:v>662.06571777000011</c:v>
                </c:pt>
                <c:pt idx="10">
                  <c:v>682.7342226999998</c:v>
                </c:pt>
                <c:pt idx="11">
                  <c:v>717.37962724332453</c:v>
                </c:pt>
                <c:pt idx="12">
                  <c:v>740.84018700999991</c:v>
                </c:pt>
                <c:pt idx="13">
                  <c:v>743.62251662000006</c:v>
                </c:pt>
                <c:pt idx="14">
                  <c:v>817.57029699999998</c:v>
                </c:pt>
                <c:pt idx="15">
                  <c:v>893.99033670000017</c:v>
                </c:pt>
                <c:pt idx="16">
                  <c:v>950.94175564000011</c:v>
                </c:pt>
                <c:pt idx="17">
                  <c:v>1005.8275970499998</c:v>
                </c:pt>
                <c:pt idx="18">
                  <c:v>1052.8508957189663</c:v>
                </c:pt>
                <c:pt idx="19">
                  <c:v>1084.5036878800001</c:v>
                </c:pt>
                <c:pt idx="20">
                  <c:v>1007.37851484</c:v>
                </c:pt>
                <c:pt idx="21">
                  <c:v>933.91422257000011</c:v>
                </c:pt>
                <c:pt idx="22">
                  <c:v>948.26605525757611</c:v>
                </c:pt>
                <c:pt idx="23">
                  <c:v>986.58864716687549</c:v>
                </c:pt>
                <c:pt idx="24">
                  <c:v>1032.5818080236663</c:v>
                </c:pt>
                <c:pt idx="25">
                  <c:v>1083.2419037521072</c:v>
                </c:pt>
              </c:numCache>
            </c:numRef>
          </c:val>
          <c:smooth val="0"/>
          <c:extLst>
            <c:ext xmlns:c16="http://schemas.microsoft.com/office/drawing/2014/chart" uri="{C3380CC4-5D6E-409C-BE32-E72D297353CC}">
              <c16:uniqueId val="{00000000-BD71-42C9-8249-13BEBBCA55C0}"/>
            </c:ext>
          </c:extLst>
        </c:ser>
        <c:ser>
          <c:idx val="2"/>
          <c:order val="2"/>
          <c:tx>
            <c:strRef>
              <c:f>'Expenditure Current Yearly'!$C$1</c:f>
              <c:strCache>
                <c:ptCount val="1"/>
                <c:pt idx="0">
                  <c:v>Lower Bound</c:v>
                </c:pt>
              </c:strCache>
            </c:strRef>
          </c:tx>
          <c:spPr>
            <a:ln w="34925" cap="rnd">
              <a:solidFill>
                <a:schemeClr val="accent1">
                  <a:lumMod val="60000"/>
                  <a:lumOff val="40000"/>
                </a:schemeClr>
              </a:solidFill>
              <a:prstDash val="sysDot"/>
              <a:round/>
            </a:ln>
            <a:effectLst>
              <a:outerShdw blurRad="57150" dist="19050" dir="5400000" algn="ctr" rotWithShape="0">
                <a:srgbClr val="000000">
                  <a:alpha val="63000"/>
                </a:srgbClr>
              </a:outerShdw>
            </a:effectLst>
          </c:spPr>
          <c:marker>
            <c:symbol val="none"/>
          </c:marker>
          <c:cat>
            <c:numRef>
              <c:f>'Expenditure Current Yearly'!$A$2:$A$27</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'Expenditure Current Yearly'!$C$2:$C$27</c:f>
              <c:numCache>
                <c:formatCode>0.000</c:formatCode>
                <c:ptCount val="26"/>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933.91422257000011</c:v>
                </c:pt>
                <c:pt idx="22">
                  <c:v>829.55799264976793</c:v>
                </c:pt>
                <c:pt idx="23">
                  <c:v>873.64956673384211</c:v>
                </c:pt>
                <c:pt idx="24">
                  <c:v>925.68131969976821</c:v>
                </c:pt>
                <c:pt idx="25">
                  <c:v>983.83564042246985</c:v>
                </c:pt>
              </c:numCache>
            </c:numRef>
          </c:val>
          <c:smooth val="0"/>
          <c:extLst>
            <c:ext xmlns:c16="http://schemas.microsoft.com/office/drawing/2014/chart" uri="{C3380CC4-5D6E-409C-BE32-E72D297353CC}">
              <c16:uniqueId val="{00000001-BD71-42C9-8249-13BEBBCA55C0}"/>
            </c:ext>
          </c:extLst>
        </c:ser>
        <c:ser>
          <c:idx val="3"/>
          <c:order val="3"/>
          <c:tx>
            <c:strRef>
              <c:f>'Expenditure Current Yearly'!$D$1</c:f>
              <c:strCache>
                <c:ptCount val="1"/>
                <c:pt idx="0">
                  <c:v>Upper Bound</c:v>
                </c:pt>
              </c:strCache>
            </c:strRef>
          </c:tx>
          <c:spPr>
            <a:ln w="34925" cap="rnd">
              <a:solidFill>
                <a:schemeClr val="accent1">
                  <a:lumMod val="60000"/>
                  <a:lumOff val="40000"/>
                </a:schemeClr>
              </a:solidFill>
              <a:prstDash val="sysDot"/>
              <a:round/>
            </a:ln>
            <a:effectLst>
              <a:outerShdw blurRad="57150" dist="19050" dir="5400000" algn="ctr" rotWithShape="0">
                <a:srgbClr val="000000">
                  <a:alpha val="63000"/>
                </a:srgbClr>
              </a:outerShdw>
            </a:effectLst>
          </c:spPr>
          <c:marker>
            <c:symbol val="none"/>
          </c:marker>
          <c:cat>
            <c:numRef>
              <c:f>'Expenditure Current Yearly'!$A$2:$A$27</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'Expenditure Current Yearly'!$D$2:$D$27</c:f>
              <c:numCache>
                <c:formatCode>0.000</c:formatCode>
                <c:ptCount val="26"/>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933.91422257000011</c:v>
                </c:pt>
                <c:pt idx="22">
                  <c:v>1066.9741178653844</c:v>
                </c:pt>
                <c:pt idx="23">
                  <c:v>1099.5277275999088</c:v>
                </c:pt>
                <c:pt idx="24">
                  <c:v>1139.4822963475644</c:v>
                </c:pt>
                <c:pt idx="25">
                  <c:v>1182.6481670817445</c:v>
                </c:pt>
              </c:numCache>
            </c:numRef>
          </c:val>
          <c:smooth val="0"/>
          <c:extLst>
            <c:ext xmlns:c16="http://schemas.microsoft.com/office/drawing/2014/chart" uri="{C3380CC4-5D6E-409C-BE32-E72D297353CC}">
              <c16:uniqueId val="{00000002-BD71-42C9-8249-13BEBBCA55C0}"/>
            </c:ext>
          </c:extLst>
        </c:ser>
        <c:dLbls>
          <c:showLegendKey val="0"/>
          <c:showVal val="0"/>
          <c:showCatName val="0"/>
          <c:showSerName val="0"/>
          <c:showPercent val="0"/>
          <c:showBubbleSize val="0"/>
        </c:dLbls>
        <c:smooth val="0"/>
        <c:axId val="215766575"/>
        <c:axId val="215766991"/>
        <c:extLst>
          <c:ext xmlns:c15="http://schemas.microsoft.com/office/drawing/2012/chart" uri="{02D57815-91ED-43cb-92C2-25804820EDAC}">
            <c15:filteredLineSeries>
              <c15:ser>
                <c:idx val="0"/>
                <c:order val="0"/>
                <c:tx>
                  <c:strRef>
                    <c:extLst>
                      <c:ext uri="{02D57815-91ED-43cb-92C2-25804820EDAC}">
                        <c15:formulaRef>
                          <c15:sqref>'Expenditure Current Yearly'!$A$1</c15:sqref>
                        </c15:formulaRef>
                      </c:ext>
                    </c:extLst>
                    <c:strCache>
                      <c:ptCount val="1"/>
                      <c:pt idx="0">
                        <c:v>Year</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'Expenditure Current Yearly'!$A$2:$A$27</c15:sqref>
                        </c15:formulaRef>
                      </c:ext>
                    </c:extLst>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extLst>
                      <c:ext uri="{02D57815-91ED-43cb-92C2-25804820EDAC}">
                        <c15:formulaRef>
                          <c15:sqref>'Expenditure Current Yearly'!$A$2:$A$27</c15:sqref>
                        </c15:formulaRef>
                      </c:ext>
                    </c:extLst>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val>
                <c:smooth val="0"/>
                <c:extLst>
                  <c:ext xmlns:c16="http://schemas.microsoft.com/office/drawing/2014/chart" uri="{C3380CC4-5D6E-409C-BE32-E72D297353CC}">
                    <c16:uniqueId val="{00000003-BD71-42C9-8249-13BEBBCA55C0}"/>
                  </c:ext>
                </c:extLst>
              </c15:ser>
            </c15:filteredLineSeries>
          </c:ext>
        </c:extLst>
      </c:lineChart>
      <c:catAx>
        <c:axId val="21576657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66991"/>
        <c:crosses val="autoZero"/>
        <c:auto val="1"/>
        <c:lblAlgn val="ctr"/>
        <c:lblOffset val="100"/>
        <c:noMultiLvlLbl val="0"/>
      </c:catAx>
      <c:valAx>
        <c:axId val="21576699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66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600" b="1" i="0" u="none" strike="noStrike" baseline="0">
                <a:effectLst/>
              </a:rPr>
              <a:t>Total Expenditure</a:t>
            </a:r>
            <a:r>
              <a:rPr lang="en-US" sz="1600" b="1" i="0" u="none" strike="noStrike" baseline="0"/>
              <a:t> </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 Total Expenditure Yearly'!$B$1</c:f>
              <c:strCache>
                <c:ptCount val="1"/>
                <c:pt idx="0">
                  <c:v>Total Expenditure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 Total Expenditure Yearly'!$A$2:$A$27</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 Total Expenditure Yearly'!$B$2:$B$27</c:f>
              <c:numCache>
                <c:formatCode>0.000</c:formatCode>
                <c:ptCount val="26"/>
                <c:pt idx="0">
                  <c:v>541.71800000000007</c:v>
                </c:pt>
                <c:pt idx="1">
                  <c:v>589.16600000000005</c:v>
                </c:pt>
                <c:pt idx="2">
                  <c:v>593.75200000000007</c:v>
                </c:pt>
                <c:pt idx="3">
                  <c:v>627.47</c:v>
                </c:pt>
                <c:pt idx="4">
                  <c:v>647.3130000000001</c:v>
                </c:pt>
                <c:pt idx="5">
                  <c:v>684.23900000000026</c:v>
                </c:pt>
                <c:pt idx="6">
                  <c:v>648.57799999999986</c:v>
                </c:pt>
                <c:pt idx="7">
                  <c:v>796.505</c:v>
                </c:pt>
                <c:pt idx="8">
                  <c:v>759.46199999999999</c:v>
                </c:pt>
                <c:pt idx="9">
                  <c:v>775.39628517000006</c:v>
                </c:pt>
                <c:pt idx="10">
                  <c:v>815.86431811</c:v>
                </c:pt>
                <c:pt idx="11">
                  <c:v>839.09397344332456</c:v>
                </c:pt>
                <c:pt idx="12">
                  <c:v>902.73986954999987</c:v>
                </c:pt>
                <c:pt idx="13">
                  <c:v>922.11267819</c:v>
                </c:pt>
                <c:pt idx="14">
                  <c:v>1099.11804871</c:v>
                </c:pt>
                <c:pt idx="15">
                  <c:v>1298.5932168899999</c:v>
                </c:pt>
                <c:pt idx="16">
                  <c:v>1158.48683035</c:v>
                </c:pt>
                <c:pt idx="17">
                  <c:v>1177.5957895600002</c:v>
                </c:pt>
                <c:pt idx="18">
                  <c:v>1221.2759383789662</c:v>
                </c:pt>
                <c:pt idx="19">
                  <c:v>1306.6698483599998</c:v>
                </c:pt>
                <c:pt idx="20">
                  <c:v>1352.5125869199999</c:v>
                </c:pt>
                <c:pt idx="21">
                  <c:v>1168.0612693</c:v>
                </c:pt>
                <c:pt idx="22">
                  <c:v>1216.6043675277906</c:v>
                </c:pt>
                <c:pt idx="23">
                  <c:v>1259.7856649722946</c:v>
                </c:pt>
                <c:pt idx="24">
                  <c:v>1306.4581192773167</c:v>
                </c:pt>
                <c:pt idx="25">
                  <c:v>1358.8556517981892</c:v>
                </c:pt>
              </c:numCache>
            </c:numRef>
          </c:val>
          <c:smooth val="0"/>
          <c:extLst>
            <c:ext xmlns:c16="http://schemas.microsoft.com/office/drawing/2014/chart" uri="{C3380CC4-5D6E-409C-BE32-E72D297353CC}">
              <c16:uniqueId val="{00000000-D3C7-4B7E-928B-2C25ED703AEF}"/>
            </c:ext>
          </c:extLst>
        </c:ser>
        <c:ser>
          <c:idx val="2"/>
          <c:order val="2"/>
          <c:tx>
            <c:strRef>
              <c:f>' Total Expenditure Yearly'!$C$1</c:f>
              <c:strCache>
                <c:ptCount val="1"/>
                <c:pt idx="0">
                  <c:v>Lower Bound</c:v>
                </c:pt>
              </c:strCache>
            </c:strRef>
          </c:tx>
          <c:spPr>
            <a:ln w="34925" cap="rnd">
              <a:solidFill>
                <a:schemeClr val="accent1">
                  <a:lumMod val="60000"/>
                  <a:lumOff val="40000"/>
                </a:schemeClr>
              </a:solidFill>
              <a:prstDash val="sysDot"/>
              <a:round/>
            </a:ln>
            <a:effectLst>
              <a:outerShdw blurRad="57150" dist="19050" dir="5400000" algn="ctr" rotWithShape="0">
                <a:srgbClr val="000000">
                  <a:alpha val="63000"/>
                </a:srgbClr>
              </a:outerShdw>
            </a:effectLst>
          </c:spPr>
          <c:marker>
            <c:symbol val="none"/>
          </c:marker>
          <c:cat>
            <c:numRef>
              <c:f>' Total Expenditure Yearly'!$A$2:$A$27</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 Total Expenditure Yearly'!$C$2:$C$27</c:f>
              <c:numCache>
                <c:formatCode>0.000</c:formatCode>
                <c:ptCount val="26"/>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1168.0612693</c:v>
                </c:pt>
                <c:pt idx="22">
                  <c:v>1085.5753179981546</c:v>
                </c:pt>
                <c:pt idx="23">
                  <c:v>1131.2319373688676</c:v>
                </c:pt>
                <c:pt idx="24">
                  <c:v>1179.5244630599195</c:v>
                </c:pt>
                <c:pt idx="25">
                  <c:v>1234.0431527813473</c:v>
                </c:pt>
              </c:numCache>
            </c:numRef>
          </c:val>
          <c:smooth val="0"/>
          <c:extLst>
            <c:ext xmlns:c16="http://schemas.microsoft.com/office/drawing/2014/chart" uri="{C3380CC4-5D6E-409C-BE32-E72D297353CC}">
              <c16:uniqueId val="{00000001-D3C7-4B7E-928B-2C25ED703AEF}"/>
            </c:ext>
          </c:extLst>
        </c:ser>
        <c:ser>
          <c:idx val="3"/>
          <c:order val="3"/>
          <c:tx>
            <c:strRef>
              <c:f>' Total Expenditure Yearly'!$D$1</c:f>
              <c:strCache>
                <c:ptCount val="1"/>
                <c:pt idx="0">
                  <c:v>Upper Bound</c:v>
                </c:pt>
              </c:strCache>
            </c:strRef>
          </c:tx>
          <c:spPr>
            <a:ln w="34925" cap="rnd">
              <a:solidFill>
                <a:schemeClr val="accent1">
                  <a:lumMod val="60000"/>
                  <a:lumOff val="40000"/>
                </a:schemeClr>
              </a:solidFill>
              <a:prstDash val="sysDot"/>
              <a:round/>
            </a:ln>
            <a:effectLst>
              <a:outerShdw blurRad="57150" dist="19050" dir="5400000" algn="ctr" rotWithShape="0">
                <a:srgbClr val="000000">
                  <a:alpha val="63000"/>
                </a:srgbClr>
              </a:outerShdw>
            </a:effectLst>
          </c:spPr>
          <c:marker>
            <c:symbol val="none"/>
          </c:marker>
          <c:cat>
            <c:numRef>
              <c:f>' Total Expenditure Yearly'!$A$2:$A$27</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 Total Expenditure Yearly'!$D$2:$D$27</c:f>
              <c:numCache>
                <c:formatCode>0.000</c:formatCode>
                <c:ptCount val="26"/>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1168.0612693</c:v>
                </c:pt>
                <c:pt idx="22">
                  <c:v>1347.6334170574266</c:v>
                </c:pt>
                <c:pt idx="23">
                  <c:v>1388.3393925757216</c:v>
                </c:pt>
                <c:pt idx="24">
                  <c:v>1433.3917754947138</c:v>
                </c:pt>
                <c:pt idx="25">
                  <c:v>1483.6681508150311</c:v>
                </c:pt>
              </c:numCache>
            </c:numRef>
          </c:val>
          <c:smooth val="0"/>
          <c:extLst>
            <c:ext xmlns:c16="http://schemas.microsoft.com/office/drawing/2014/chart" uri="{C3380CC4-5D6E-409C-BE32-E72D297353CC}">
              <c16:uniqueId val="{00000002-D3C7-4B7E-928B-2C25ED703AEF}"/>
            </c:ext>
          </c:extLst>
        </c:ser>
        <c:dLbls>
          <c:showLegendKey val="0"/>
          <c:showVal val="0"/>
          <c:showCatName val="0"/>
          <c:showSerName val="0"/>
          <c:showPercent val="0"/>
          <c:showBubbleSize val="0"/>
        </c:dLbls>
        <c:smooth val="0"/>
        <c:axId val="215766575"/>
        <c:axId val="215766991"/>
        <c:extLst>
          <c:ext xmlns:c15="http://schemas.microsoft.com/office/drawing/2012/chart" uri="{02D57815-91ED-43cb-92C2-25804820EDAC}">
            <c15:filteredLineSeries>
              <c15:ser>
                <c:idx val="0"/>
                <c:order val="0"/>
                <c:tx>
                  <c:strRef>
                    <c:extLst>
                      <c:ext uri="{02D57815-91ED-43cb-92C2-25804820EDAC}">
                        <c15:formulaRef>
                          <c15:sqref>' Total Expenditure Yearly'!$A$1</c15:sqref>
                        </c15:formulaRef>
                      </c:ext>
                    </c:extLst>
                    <c:strCache>
                      <c:ptCount val="1"/>
                      <c:pt idx="0">
                        <c:v>Year</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 Total Expenditure Yearly'!$A$2:$A$27</c15:sqref>
                        </c15:formulaRef>
                      </c:ext>
                    </c:extLst>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extLst>
                      <c:ext uri="{02D57815-91ED-43cb-92C2-25804820EDAC}">
                        <c15:formulaRef>
                          <c15:sqref>' Total Expenditure Yearly'!$A$2:$A$27</c15:sqref>
                        </c15:formulaRef>
                      </c:ext>
                    </c:extLst>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val>
                <c:smooth val="0"/>
                <c:extLst>
                  <c:ext xmlns:c16="http://schemas.microsoft.com/office/drawing/2014/chart" uri="{C3380CC4-5D6E-409C-BE32-E72D297353CC}">
                    <c16:uniqueId val="{00000003-D3C7-4B7E-928B-2C25ED703AEF}"/>
                  </c:ext>
                </c:extLst>
              </c15:ser>
            </c15:filteredLineSeries>
          </c:ext>
        </c:extLst>
      </c:lineChart>
      <c:catAx>
        <c:axId val="21576657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66991"/>
        <c:crosses val="autoZero"/>
        <c:auto val="1"/>
        <c:lblAlgn val="ctr"/>
        <c:lblOffset val="100"/>
        <c:noMultiLvlLbl val="0"/>
      </c:catAx>
      <c:valAx>
        <c:axId val="21576699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66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Mahicol</dc:creator>
  <cp:keywords/>
  <dc:description/>
  <cp:lastModifiedBy>Mahicol</cp:lastModifiedBy>
  <cp:revision>51</cp:revision>
  <dcterms:created xsi:type="dcterms:W3CDTF">2023-02-22T13:08:00Z</dcterms:created>
  <dcterms:modified xsi:type="dcterms:W3CDTF">2023-03-02T13:21:00Z</dcterms:modified>
</cp:coreProperties>
</file>