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1CD45" w14:textId="77777777" w:rsidR="00FC51E3" w:rsidRPr="00FC51E3" w:rsidRDefault="00FC51E3" w:rsidP="00FC51E3">
      <w:pPr>
        <w:spacing w:after="184"/>
        <w:ind w:left="10" w:right="1" w:hanging="10"/>
        <w:jc w:val="center"/>
        <w:rPr>
          <w:rFonts w:ascii="Arial" w:eastAsia="Arial" w:hAnsi="Arial" w:cs="Arial"/>
          <w:color w:val="000000"/>
          <w:sz w:val="16"/>
          <w:lang w:eastAsia="es-MX"/>
        </w:rPr>
      </w:pPr>
    </w:p>
    <w:p w14:paraId="104CA27E" w14:textId="77777777" w:rsidR="00FC51E3" w:rsidRPr="00FC51E3" w:rsidRDefault="00FC51E3" w:rsidP="00FC51E3">
      <w:pPr>
        <w:keepNext/>
        <w:keepLines/>
        <w:spacing w:after="221" w:line="265" w:lineRule="auto"/>
        <w:ind w:left="140" w:right="132" w:hanging="10"/>
        <w:jc w:val="center"/>
        <w:outlineLvl w:val="1"/>
        <w:rPr>
          <w:rFonts w:ascii="Arial" w:eastAsia="Arial" w:hAnsi="Arial" w:cs="Arial"/>
          <w:b/>
          <w:color w:val="000000"/>
          <w:sz w:val="16"/>
          <w:lang w:eastAsia="es-MX"/>
        </w:rPr>
      </w:pPr>
      <w:r w:rsidRPr="00FC51E3">
        <w:rPr>
          <w:rFonts w:ascii="Arial" w:eastAsia="Arial" w:hAnsi="Arial" w:cs="Arial"/>
          <w:b/>
          <w:color w:val="000000"/>
          <w:sz w:val="16"/>
          <w:lang w:eastAsia="es-MX"/>
        </w:rPr>
        <w:t xml:space="preserve">CONTENIDO DE ARTÍCULOS Y DISPOSICIONES LEGALES MENCIONADOS EN EL CONTRATO DE ADHESIÓN </w:t>
      </w:r>
    </w:p>
    <w:p w14:paraId="670267C1" w14:textId="77777777" w:rsidR="00FC51E3" w:rsidRPr="00FC51E3" w:rsidRDefault="00FC51E3" w:rsidP="00FC51E3">
      <w:pPr>
        <w:spacing w:after="211"/>
        <w:ind w:left="6"/>
        <w:jc w:val="center"/>
        <w:rPr>
          <w:rFonts w:ascii="Arial" w:eastAsia="Arial" w:hAnsi="Arial" w:cs="Arial"/>
          <w:color w:val="000000"/>
          <w:sz w:val="16"/>
          <w:lang w:eastAsia="es-MX"/>
        </w:rPr>
      </w:pPr>
      <w:r w:rsidRPr="00FC51E3">
        <w:rPr>
          <w:rFonts w:ascii="Arial" w:eastAsia="Arial" w:hAnsi="Arial" w:cs="Arial"/>
          <w:b/>
          <w:color w:val="000000"/>
          <w:sz w:val="16"/>
          <w:u w:val="single" w:color="000000"/>
          <w:lang w:eastAsia="es-MX"/>
        </w:rPr>
        <w:t>CRÉDITO CON DESCUENTO VÍA NÓMINA</w:t>
      </w:r>
      <w:r w:rsidRPr="00FC51E3">
        <w:rPr>
          <w:rFonts w:ascii="Arial" w:eastAsia="Arial" w:hAnsi="Arial" w:cs="Arial"/>
          <w:b/>
          <w:color w:val="000000"/>
          <w:sz w:val="16"/>
          <w:lang w:eastAsia="es-MX"/>
        </w:rPr>
        <w:t xml:space="preserve"> </w:t>
      </w:r>
    </w:p>
    <w:p w14:paraId="625348DA" w14:textId="77777777" w:rsidR="00FC51E3" w:rsidRPr="00FC51E3" w:rsidRDefault="00FC51E3" w:rsidP="00FC51E3">
      <w:pPr>
        <w:spacing w:after="219" w:line="250" w:lineRule="auto"/>
        <w:ind w:left="69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Ley General de Organizaciones y Actividades Auxiliares de Crédito. </w:t>
      </w:r>
    </w:p>
    <w:p w14:paraId="301EC90F"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Artículo 56.- </w:t>
      </w:r>
      <w:r w:rsidRPr="00FC51E3">
        <w:rPr>
          <w:rFonts w:ascii="Arial" w:eastAsia="Arial" w:hAnsi="Arial" w:cs="Arial"/>
          <w:color w:val="000000"/>
          <w:sz w:val="16"/>
          <w:lang w:eastAsia="es-MX"/>
        </w:rPr>
        <w:t xml:space="preserve">La inspección y vigilancia de las organizaciones auxiliares del crédito, casas de cambio y sociedades financieras de objeto múltiple reguladas queda confiada a la Comisión Nacional Bancaria y de Valores, la que tendrá, en lo que no se oponga a esta Ley, respecto de dichas organizaciones auxiliares del crédito, casas de cambio y sociedades financieras de objeto múltiple reguladas, todas las facultades que en materia de inspección y vigilancia le confiere la Ley de Instituciones de Crédito para instituciones de banca múltiple, quien la llevará a cabo sujetándose a lo previsto en su ley, en el Reglamento respectivo y en las demás disposiciones que resulten aplicables. </w:t>
      </w:r>
    </w:p>
    <w:p w14:paraId="28141393"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En lo que respecta a las sociedades financieras de objeto múltiple no reguladas, los centros cambiarios y los transmisores de dinero, la inspección y vigilancia de estas sociedades, se llevará a cabo por la mencionada Comisión, exclusivamente para verificar el cumplimiento de los preceptos a que se refiere el artículo 95 Bis de esta Ley y las disposiciones de carácter general que de éste deriven. </w:t>
      </w:r>
    </w:p>
    <w:p w14:paraId="253FC10D"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Las organizaciones auxiliares del crédito y casas de cambio deberán rendir a la Secretaría de Hacienda y Crédito Público y a la Comisión Nacional Bancaria y de Valores, en la forma y términos que al efecto establezcan, los informes, documentos y pruebas que sobre su organización, operaciones, contabilidad, inversiones o patrimonio les soliciten para fines de regulación, supervisión, control, inspección, vigilancia, estadística y demás funciones que, conforme a esta Ley u otras disposiciones legales y administrativas, les corresponda ejercer. </w:t>
      </w:r>
    </w:p>
    <w:p w14:paraId="19DDD09D" w14:textId="77777777" w:rsidR="00FC51E3" w:rsidRPr="00FC51E3" w:rsidRDefault="00FC51E3" w:rsidP="00FC51E3">
      <w:pPr>
        <w:spacing w:after="219" w:line="250" w:lineRule="auto"/>
        <w:ind w:left="69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Ley General de Títulos y Operaciones de Crédito. </w:t>
      </w:r>
    </w:p>
    <w:p w14:paraId="6D98D60C"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Artículo 299.- </w:t>
      </w:r>
      <w:r w:rsidRPr="00FC51E3">
        <w:rPr>
          <w:rFonts w:ascii="Arial" w:eastAsia="Arial" w:hAnsi="Arial" w:cs="Arial"/>
          <w:color w:val="000000"/>
          <w:sz w:val="16"/>
          <w:lang w:eastAsia="es-MX"/>
        </w:rPr>
        <w:t xml:space="preserve">El otorgamiento o transmisión de un título de crédito o de cualquier otro documento por el acreditado al acreditante, como reconocimiento del adeudo que a cargo de aquel resulte en virtud de las disposiciones que haga del crédito concedido, no facultan al acreditante para descontar o ceder el crédito así documentado, antes de su vencimiento, sino hasta cuando el acreditado lo autorice a ello expresamente. </w:t>
      </w:r>
    </w:p>
    <w:p w14:paraId="1B588159"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Negociado o cedido el crédito por el acreditante, éste abonará al acreditado, desde la fecha de tales actos, los intereses correspondientes al importe de la disposición de que dicho crédito proceda, conforme al tipo estipulado en la apertura de crédito; pero el crédito concedido no se entenderá renovado por esa cantidad, sino cuando las partes así lo hayan convenido. </w:t>
      </w:r>
    </w:p>
    <w:p w14:paraId="2D66F7E5" w14:textId="77777777" w:rsidR="00FC51E3" w:rsidRPr="00FC51E3" w:rsidRDefault="00FC51E3" w:rsidP="00FC51E3">
      <w:pPr>
        <w:spacing w:after="219" w:line="250" w:lineRule="auto"/>
        <w:ind w:left="69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Código Civil del Distrito Federal </w:t>
      </w:r>
    </w:p>
    <w:p w14:paraId="6240C762"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Artículo 2111.- </w:t>
      </w:r>
      <w:r w:rsidRPr="00FC51E3">
        <w:rPr>
          <w:rFonts w:ascii="Arial" w:eastAsia="Arial" w:hAnsi="Arial" w:cs="Arial"/>
          <w:color w:val="000000"/>
          <w:sz w:val="16"/>
          <w:lang w:eastAsia="es-MX"/>
        </w:rPr>
        <w:t xml:space="preserve">Nadie está obligado al caso fortuito sino cuando ha dado causa </w:t>
      </w:r>
      <w:proofErr w:type="spellStart"/>
      <w:r w:rsidRPr="00FC51E3">
        <w:rPr>
          <w:rFonts w:ascii="Arial" w:eastAsia="Arial" w:hAnsi="Arial" w:cs="Arial"/>
          <w:color w:val="000000"/>
          <w:sz w:val="16"/>
          <w:lang w:eastAsia="es-MX"/>
        </w:rPr>
        <w:t>contribuído</w:t>
      </w:r>
      <w:proofErr w:type="spellEnd"/>
      <w:r w:rsidRPr="00FC51E3">
        <w:rPr>
          <w:rFonts w:ascii="Arial" w:eastAsia="Arial" w:hAnsi="Arial" w:cs="Arial"/>
          <w:color w:val="000000"/>
          <w:sz w:val="16"/>
          <w:lang w:eastAsia="es-MX"/>
        </w:rPr>
        <w:t xml:space="preserve"> a él, cuando ha aceptado expresamente esa responsabilidad, o cuando la ley se la impone. </w:t>
      </w:r>
    </w:p>
    <w:p w14:paraId="6A2DE778" w14:textId="77777777" w:rsidR="00FC51E3" w:rsidRPr="00FC51E3" w:rsidRDefault="00FC51E3" w:rsidP="00FC51E3">
      <w:pPr>
        <w:spacing w:after="219" w:line="250" w:lineRule="auto"/>
        <w:ind w:left="69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Ley para Regular las Sociedades de Información Crediticia </w:t>
      </w:r>
    </w:p>
    <w:p w14:paraId="7E15E3DF"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Artículo 28.- </w:t>
      </w:r>
      <w:r w:rsidRPr="00FC51E3">
        <w:rPr>
          <w:rFonts w:ascii="Arial" w:eastAsia="Arial" w:hAnsi="Arial" w:cs="Arial"/>
          <w:color w:val="000000"/>
          <w:sz w:val="16"/>
          <w:lang w:eastAsia="es-MX"/>
        </w:rPr>
        <w:t xml:space="preserve">Las Sociedades sólo podrán proporcionar información a un Usuario, cuando éste cuente con la autorización expresa del Cliente, mediante su firma autógrafa, en donde conste de manera fehaciente que tiene pleno conocimiento de la naturaleza y alcance de la información que la Sociedad proporcionará al Usuario que así la solicite, del uso que dicho Usuario hará de tal información y del hecho de que éste podrá realizar consultas periódicas de su historial crediticio, durante el tiempo que mantenga relación jurídica con el Cliente. </w:t>
      </w:r>
    </w:p>
    <w:p w14:paraId="28D3D6D4" w14:textId="77777777" w:rsidR="00FC51E3" w:rsidRPr="00FC51E3" w:rsidRDefault="00FC51E3" w:rsidP="00FC51E3">
      <w:pPr>
        <w:spacing w:after="198" w:line="276" w:lineRule="auto"/>
        <w:ind w:left="682" w:right="327"/>
        <w:rPr>
          <w:rFonts w:ascii="Arial" w:eastAsia="Arial" w:hAnsi="Arial" w:cs="Arial"/>
          <w:color w:val="000000"/>
          <w:sz w:val="16"/>
          <w:lang w:eastAsia="es-MX"/>
        </w:rPr>
      </w:pPr>
      <w:r w:rsidRPr="00FC51E3">
        <w:rPr>
          <w:rFonts w:ascii="Arial" w:eastAsia="Arial" w:hAnsi="Arial" w:cs="Arial"/>
          <w:color w:val="000000"/>
          <w:sz w:val="16"/>
          <w:lang w:eastAsia="es-MX"/>
        </w:rPr>
        <w:t xml:space="preserve">Las Sociedades podrán proporcionar información a los Usuarios que adquieran o administren cartera de crédito, utilizando para ello la autorización que el Cliente haya dado conforme al presente artículo al Usuario que otorgó el crédito respectivo originalmente. </w:t>
      </w:r>
    </w:p>
    <w:p w14:paraId="61E53D62"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Se deroga el tercer párrafo. </w:t>
      </w:r>
    </w:p>
    <w:p w14:paraId="3270C58C"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Asimismo, el Banco de México podrá autorizar a las Sociedades los términos y condiciones bajo los cuales podrán pactar con los Usuarios la sustitución de la firma autógrafa del Cliente, con alguna de las formas de manifestación de la voluntad señaladas en el artículo 1803 del Código Civil Federal. </w:t>
      </w:r>
    </w:p>
    <w:p w14:paraId="2B5769BF"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La autorización expresa a que se refiere este artículo será necesaria tratándose de: </w:t>
      </w:r>
    </w:p>
    <w:p w14:paraId="53808EB7" w14:textId="77777777" w:rsidR="00FC51E3" w:rsidRPr="00FC51E3" w:rsidRDefault="00FC51E3" w:rsidP="00FC51E3">
      <w:pPr>
        <w:numPr>
          <w:ilvl w:val="0"/>
          <w:numId w:val="1"/>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Personas físicas, y </w:t>
      </w:r>
    </w:p>
    <w:p w14:paraId="05EFE384" w14:textId="77777777" w:rsidR="00FC51E3" w:rsidRPr="00FC51E3" w:rsidRDefault="00FC51E3" w:rsidP="00FC51E3">
      <w:pPr>
        <w:numPr>
          <w:ilvl w:val="0"/>
          <w:numId w:val="1"/>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Personas morales con créditos totales inferiores a cuatrocientas mil UDIS, de conformidad con el valor de dicha unidad publicado por el Banco de México a la fecha en que se presente la solicitud de información. Los Usuarios que realicen </w:t>
      </w:r>
      <w:r w:rsidRPr="00FC51E3">
        <w:rPr>
          <w:rFonts w:ascii="Arial" w:eastAsia="Arial" w:hAnsi="Arial" w:cs="Arial"/>
          <w:color w:val="000000"/>
          <w:sz w:val="16"/>
          <w:lang w:eastAsia="es-MX"/>
        </w:rPr>
        <w:lastRenderedPageBreak/>
        <w:t xml:space="preserve">consultas relacionadas con personas morales con créditos totales superiores a cuatrocientas mil UDIS, no requerirán de la autorización expresa a que se refiere el presente artículo. </w:t>
      </w:r>
    </w:p>
    <w:p w14:paraId="5EF7FB0B"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La obligación de obtener las autorizaciones a que se refiere este artículo, no aplicará a la información solicitada por el Banco de México, la Comisión, las autoridades judiciales en virtud de providencia dictada en juicio en que el Cliente sea parte o acusado y por las autoridades hacendarias federales, cuando la soliciten a través de la Comisión, para fines fiscales, de combate al blanqueo de capitales o de acciones tendientes a prevenir y castigar el financiamiento del terrorismo. </w:t>
      </w:r>
    </w:p>
    <w:p w14:paraId="6A66C8C2"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La vigencia de la autorización prevista en el primer párrafo de este artículo será de un año contado a partir de su otorgamiento, o hasta dos años adicionales a ese año si el Cliente así lo autoriza expresamente. En todo caso, la vigencia permanecerá mientras exista relación jurídica entre el Usuario y el Cliente. </w:t>
      </w:r>
    </w:p>
    <w:p w14:paraId="0430ACAC"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Los Reportes de Crédito Especiales que sean entregados a los Clientes en términos de esta ley deberán contener la identidad de los Usuarios que hayan consultado su información en los veinticuatro meses anteriores. </w:t>
      </w:r>
    </w:p>
    <w:p w14:paraId="5A5CEF11"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Cuando el texto que contenga la autorización del Cliente forme parte de la documentación que deba firmar el mismo para gestionar un servicio ante algún Usuario, dicho texto deberá incluirse en una sección especial dentro de la documentación citada y la firma autógrafa del Cliente relativa al texto de su autorización deberá ser una firma adicional a la normalmente requerida por el Usuario para el trámite del servicio solicitado. </w:t>
      </w:r>
    </w:p>
    <w:p w14:paraId="3A4C3BF0"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Se entenderá que violan las disposiciones relativas al Secreto Financiero tanto la Sociedad, como sus empleados o funcionarios que participen en alguna consulta a sabiendas de que no se ha recabado la autorización a que se refiere este artículo, en los términos de los artículos 29 y 30 siguientes. </w:t>
      </w:r>
    </w:p>
    <w:p w14:paraId="19A43B15"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Se considerará que los Usuarios, así como sus empleados o funcionarios involucrados, han violado las disposiciones relativas al Secreto Financiero, cuando realicen consultas o divulguen información en contravención a lo establecido en los artículos mencionados en el párrafo anterior. </w:t>
      </w:r>
    </w:p>
    <w:p w14:paraId="4C7B66C0"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Las Sociedades, sus empleados y funcionarios tendrán prohibido proporcionar información relativa a datos personales de los Clientes para comercialización de productos o servicios que pretendan ofrecer los Usuarios o cualquier tercero, salvo para la realización de consultas relativas al historial crediticio. </w:t>
      </w:r>
    </w:p>
    <w:p w14:paraId="3521B096" w14:textId="77777777" w:rsidR="00FC51E3" w:rsidRPr="00FC51E3" w:rsidRDefault="00FC51E3" w:rsidP="00FC51E3">
      <w:pPr>
        <w:spacing w:after="613"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Quien proporcione información en contravención a lo establecido en este párrafo, incurrirá en el delito de revelación de secretos a que se refiere el artículo 210 del Código Penal Federal. </w:t>
      </w:r>
    </w:p>
    <w:p w14:paraId="6880465A" w14:textId="77777777" w:rsidR="00FC51E3" w:rsidRPr="00FC51E3" w:rsidRDefault="00FC51E3" w:rsidP="00FC51E3">
      <w:pPr>
        <w:spacing w:after="219" w:line="250" w:lineRule="auto"/>
        <w:ind w:left="692" w:hanging="10"/>
        <w:jc w:val="both"/>
        <w:rPr>
          <w:rFonts w:ascii="Arial" w:eastAsia="Arial" w:hAnsi="Arial" w:cs="Arial"/>
          <w:color w:val="000000"/>
          <w:sz w:val="16"/>
          <w:lang w:eastAsia="es-MX"/>
        </w:rPr>
      </w:pPr>
      <w:r w:rsidRPr="00FC51E3">
        <w:rPr>
          <w:rFonts w:ascii="Arial" w:eastAsia="Arial" w:hAnsi="Arial" w:cs="Arial"/>
          <w:b/>
          <w:color w:val="000000"/>
          <w:sz w:val="16"/>
          <w:lang w:eastAsia="es-MX"/>
        </w:rPr>
        <w:t xml:space="preserve">DISPOSICIONES de carácter general en materia de transparencia aplicables a las Sociedades Financieras de Objeto Múltiple, Entidades No Reguladas. </w:t>
      </w:r>
    </w:p>
    <w:p w14:paraId="1C17DF10"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Artículo 35. Los estados de cuenta deben contener, por lo menos: </w:t>
      </w:r>
    </w:p>
    <w:p w14:paraId="5AD51FA9" w14:textId="77777777" w:rsidR="00FC51E3" w:rsidRPr="00FC51E3" w:rsidRDefault="00FC51E3" w:rsidP="00FC51E3">
      <w:pPr>
        <w:numPr>
          <w:ilvl w:val="0"/>
          <w:numId w:val="2"/>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La denominación social de la Entidad Financiera, así como el domicilio, número telefónico y su logotipo; </w:t>
      </w:r>
    </w:p>
    <w:p w14:paraId="3D2C6EBC" w14:textId="77777777" w:rsidR="00FC51E3" w:rsidRPr="00FC51E3" w:rsidRDefault="00FC51E3" w:rsidP="00FC51E3">
      <w:pPr>
        <w:numPr>
          <w:ilvl w:val="0"/>
          <w:numId w:val="2"/>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El nombre del Usuario, así como el número de cuenta o contrato de que se trate. La Entidad Financiera puede suprimir </w:t>
      </w:r>
      <w:proofErr w:type="spellStart"/>
      <w:r w:rsidRPr="00FC51E3">
        <w:rPr>
          <w:rFonts w:ascii="Arial" w:eastAsia="Arial" w:hAnsi="Arial" w:cs="Arial"/>
          <w:color w:val="000000"/>
          <w:sz w:val="16"/>
          <w:lang w:eastAsia="es-MX"/>
        </w:rPr>
        <w:t>elnombre</w:t>
      </w:r>
      <w:proofErr w:type="spellEnd"/>
      <w:r w:rsidRPr="00FC51E3">
        <w:rPr>
          <w:rFonts w:ascii="Arial" w:eastAsia="Arial" w:hAnsi="Arial" w:cs="Arial"/>
          <w:color w:val="000000"/>
          <w:sz w:val="16"/>
          <w:lang w:eastAsia="es-MX"/>
        </w:rPr>
        <w:t xml:space="preserve"> del Usuario o imprimir parcialmente el número de cuenta o contrato cuando éste así lo solicite. </w:t>
      </w:r>
    </w:p>
    <w:p w14:paraId="6CA1020E"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Cuando se trate de una sola cuenta o contrato con diferentes Usuarios, bastará con incluir el nombre de uno de ellos y el número de cuenta o contrato de que se trate, lo anterior a solicitud de Usuario; </w:t>
      </w:r>
    </w:p>
    <w:p w14:paraId="77D8B22B" w14:textId="77777777" w:rsidR="00FC51E3" w:rsidRPr="00FC51E3" w:rsidRDefault="00FC51E3" w:rsidP="00FC51E3">
      <w:pPr>
        <w:numPr>
          <w:ilvl w:val="0"/>
          <w:numId w:val="2"/>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El periodo a que corresponda;</w:t>
      </w:r>
    </w:p>
    <w:p w14:paraId="4F3808CB" w14:textId="77777777" w:rsidR="00FC51E3" w:rsidRPr="00FC51E3" w:rsidRDefault="00FC51E3" w:rsidP="00FC51E3">
      <w:pPr>
        <w:numPr>
          <w:ilvl w:val="0"/>
          <w:numId w:val="2"/>
        </w:numPr>
        <w:spacing w:after="0" w:line="536"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Los movimientos de cargo o abono efectuados en el periodo correspondiente y su descripción, </w:t>
      </w:r>
      <w:proofErr w:type="spellStart"/>
      <w:proofErr w:type="gramStart"/>
      <w:r w:rsidRPr="00FC51E3">
        <w:rPr>
          <w:rFonts w:ascii="Arial" w:eastAsia="Arial" w:hAnsi="Arial" w:cs="Arial"/>
          <w:color w:val="000000"/>
          <w:sz w:val="16"/>
          <w:lang w:eastAsia="es-MX"/>
        </w:rPr>
        <w:t>incluyendo:a</w:t>
      </w:r>
      <w:proofErr w:type="spellEnd"/>
      <w:r w:rsidRPr="00FC51E3">
        <w:rPr>
          <w:rFonts w:ascii="Arial" w:eastAsia="Arial" w:hAnsi="Arial" w:cs="Arial"/>
          <w:color w:val="000000"/>
          <w:sz w:val="16"/>
          <w:lang w:eastAsia="es-MX"/>
        </w:rPr>
        <w:t>.</w:t>
      </w:r>
      <w:proofErr w:type="gramEnd"/>
      <w:r w:rsidRPr="00FC51E3">
        <w:rPr>
          <w:rFonts w:ascii="Arial" w:eastAsia="Arial" w:hAnsi="Arial" w:cs="Arial"/>
          <w:color w:val="000000"/>
          <w:sz w:val="16"/>
          <w:lang w:eastAsia="es-MX"/>
        </w:rPr>
        <w:t xml:space="preserve"> Monto y fecha de la operación;</w:t>
      </w:r>
    </w:p>
    <w:p w14:paraId="33B62040" w14:textId="77777777" w:rsidR="00FC51E3" w:rsidRPr="00FC51E3" w:rsidRDefault="00FC51E3" w:rsidP="00FC51E3">
      <w:pPr>
        <w:numPr>
          <w:ilvl w:val="1"/>
          <w:numId w:val="2"/>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Moneda en que se denomine la operación y, en su caso, el tipo de cambio que corresponda;</w:t>
      </w:r>
    </w:p>
    <w:p w14:paraId="6CFFFC2E" w14:textId="77777777" w:rsidR="00FC51E3" w:rsidRPr="00FC51E3" w:rsidRDefault="00FC51E3" w:rsidP="00FC51E3">
      <w:pPr>
        <w:numPr>
          <w:ilvl w:val="1"/>
          <w:numId w:val="2"/>
        </w:numPr>
        <w:spacing w:after="12"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Nombre del establecimiento y lugar en donde se utilizó el Medio de Disposición, en los términos en que la</w:t>
      </w:r>
    </w:p>
    <w:p w14:paraId="337A751C" w14:textId="77777777" w:rsidR="00FC51E3" w:rsidRPr="00FC51E3" w:rsidRDefault="00FC51E3" w:rsidP="00FC51E3">
      <w:pPr>
        <w:spacing w:after="204" w:line="269" w:lineRule="auto"/>
        <w:ind w:left="1400"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Entidad Financiera lo hubiere recibido, y </w:t>
      </w:r>
    </w:p>
    <w:p w14:paraId="7BEB8B82" w14:textId="77777777" w:rsidR="00FC51E3" w:rsidRPr="00FC51E3" w:rsidRDefault="00FC51E3" w:rsidP="00FC51E3">
      <w:pPr>
        <w:numPr>
          <w:ilvl w:val="1"/>
          <w:numId w:val="2"/>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Descripción o concepto de la operación.</w:t>
      </w:r>
    </w:p>
    <w:p w14:paraId="1654005A" w14:textId="77777777" w:rsidR="00FC51E3" w:rsidRPr="00FC51E3" w:rsidRDefault="00FC51E3" w:rsidP="00FC51E3">
      <w:pPr>
        <w:numPr>
          <w:ilvl w:val="0"/>
          <w:numId w:val="2"/>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Las Comisiones cobradas, el monto, los conceptos que las generan, su fecha y moneda en que se originaron; </w:t>
      </w:r>
    </w:p>
    <w:p w14:paraId="2F9E3591" w14:textId="77777777" w:rsidR="00FC51E3" w:rsidRPr="00FC51E3" w:rsidRDefault="00FC51E3" w:rsidP="00FC51E3">
      <w:pPr>
        <w:numPr>
          <w:ilvl w:val="0"/>
          <w:numId w:val="2"/>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Un recuadro con el monto total de las Comisiones cobradas;</w:t>
      </w:r>
    </w:p>
    <w:p w14:paraId="6379D058" w14:textId="77777777" w:rsidR="00FC51E3" w:rsidRPr="00FC51E3" w:rsidRDefault="00FC51E3" w:rsidP="00FC51E3">
      <w:pPr>
        <w:numPr>
          <w:ilvl w:val="0"/>
          <w:numId w:val="2"/>
        </w:numPr>
        <w:spacing w:after="204"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Los cargos objetados por el Usuario, en el estado de cuenta siguiente al periodo en que se efectuó la objeción, </w:t>
      </w:r>
      <w:proofErr w:type="spellStart"/>
      <w:r w:rsidRPr="00FC51E3">
        <w:rPr>
          <w:rFonts w:ascii="Arial" w:eastAsia="Arial" w:hAnsi="Arial" w:cs="Arial"/>
          <w:color w:val="000000"/>
          <w:sz w:val="16"/>
          <w:lang w:eastAsia="es-MX"/>
        </w:rPr>
        <w:t>debenincluir</w:t>
      </w:r>
      <w:proofErr w:type="spellEnd"/>
      <w:r w:rsidRPr="00FC51E3">
        <w:rPr>
          <w:rFonts w:ascii="Arial" w:eastAsia="Arial" w:hAnsi="Arial" w:cs="Arial"/>
          <w:color w:val="000000"/>
          <w:sz w:val="16"/>
          <w:lang w:eastAsia="es-MX"/>
        </w:rPr>
        <w:t xml:space="preserve"> el número de folio o reporte de aclaración; </w:t>
      </w:r>
    </w:p>
    <w:p w14:paraId="533AA38C" w14:textId="77777777" w:rsidR="00FC51E3" w:rsidRPr="00FC51E3" w:rsidRDefault="00FC51E3" w:rsidP="00FC51E3">
      <w:pPr>
        <w:numPr>
          <w:ilvl w:val="0"/>
          <w:numId w:val="2"/>
        </w:numPr>
        <w:spacing w:after="5"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Un aviso que indique: "(nombre de la Entidad Financiera) recibe las consultas, reclamaciones o aclaraciones, en su</w:t>
      </w:r>
    </w:p>
    <w:p w14:paraId="0BA11B10" w14:textId="77777777" w:rsidR="00FC51E3" w:rsidRPr="00FC51E3" w:rsidRDefault="00FC51E3" w:rsidP="00FC51E3">
      <w:pPr>
        <w:spacing w:after="204" w:line="269" w:lineRule="auto"/>
        <w:ind w:left="677" w:right="672" w:hanging="10"/>
        <w:jc w:val="both"/>
        <w:rPr>
          <w:rFonts w:ascii="Arial" w:eastAsia="Arial" w:hAnsi="Arial" w:cs="Arial"/>
          <w:color w:val="000000"/>
          <w:sz w:val="16"/>
          <w:lang w:eastAsia="es-MX"/>
        </w:rPr>
      </w:pPr>
      <w:r w:rsidRPr="00FC51E3">
        <w:rPr>
          <w:rFonts w:ascii="Arial" w:eastAsia="Arial" w:hAnsi="Arial" w:cs="Arial"/>
          <w:color w:val="000000"/>
          <w:sz w:val="16"/>
          <w:lang w:eastAsia="es-MX"/>
        </w:rPr>
        <w:t xml:space="preserve">Unidad Especializada de Atención a Usuarios, ubicada en (domicilio) y por correo electrónico (dirección) o teléfono (número), así como en cualquiera de sus sucursales u oficinas. En el caso de no obtener una respuesta satisfactoria, podrá acudir a CONDUSEF (página electrónica y número telefónico)", y </w:t>
      </w:r>
    </w:p>
    <w:p w14:paraId="3E97E930" w14:textId="77777777" w:rsidR="00FC51E3" w:rsidRPr="00FC51E3" w:rsidRDefault="00FC51E3" w:rsidP="00FC51E3">
      <w:pPr>
        <w:numPr>
          <w:ilvl w:val="0"/>
          <w:numId w:val="2"/>
        </w:numPr>
        <w:spacing w:after="2358" w:line="269" w:lineRule="auto"/>
        <w:ind w:right="672"/>
        <w:jc w:val="both"/>
        <w:rPr>
          <w:rFonts w:ascii="Arial" w:eastAsia="Arial" w:hAnsi="Arial" w:cs="Arial"/>
          <w:color w:val="000000"/>
          <w:sz w:val="16"/>
          <w:lang w:eastAsia="es-MX"/>
        </w:rPr>
      </w:pPr>
      <w:r w:rsidRPr="00FC51E3">
        <w:rPr>
          <w:rFonts w:ascii="Arial" w:eastAsia="Arial" w:hAnsi="Arial" w:cs="Arial"/>
          <w:color w:val="000000"/>
          <w:sz w:val="16"/>
          <w:lang w:eastAsia="es-MX"/>
        </w:rPr>
        <w:t>Los impuestos retenidos, así como la info</w:t>
      </w:r>
      <w:bookmarkStart w:id="0" w:name="_GoBack"/>
      <w:bookmarkEnd w:id="0"/>
      <w:r w:rsidRPr="00FC51E3">
        <w:rPr>
          <w:rFonts w:ascii="Arial" w:eastAsia="Arial" w:hAnsi="Arial" w:cs="Arial"/>
          <w:color w:val="000000"/>
          <w:sz w:val="16"/>
          <w:lang w:eastAsia="es-MX"/>
        </w:rPr>
        <w:t>rmación necesaria que establezcan las disposiciones fiscales aplicables.</w:t>
      </w:r>
    </w:p>
    <w:p w14:paraId="64D9AF00" w14:textId="77777777" w:rsidR="00FC51E3" w:rsidRPr="00FC51E3" w:rsidRDefault="00FC51E3" w:rsidP="00FC51E3">
      <w:pPr>
        <w:spacing w:after="1087" w:line="265" w:lineRule="auto"/>
        <w:ind w:left="10" w:right="51" w:hanging="10"/>
        <w:jc w:val="center"/>
        <w:rPr>
          <w:rFonts w:ascii="Arial" w:eastAsia="Arial" w:hAnsi="Arial" w:cs="Arial"/>
          <w:color w:val="000000"/>
          <w:sz w:val="16"/>
          <w:lang w:eastAsia="es-MX"/>
        </w:rPr>
      </w:pPr>
      <w:r w:rsidRPr="00FC51E3">
        <w:rPr>
          <w:rFonts w:ascii="Arial" w:eastAsia="Arial" w:hAnsi="Arial" w:cs="Arial"/>
          <w:b/>
          <w:color w:val="000000"/>
          <w:sz w:val="18"/>
          <w:lang w:eastAsia="es-MX"/>
        </w:rPr>
        <w:t xml:space="preserve">EL SUSCRIPTOR </w:t>
      </w:r>
    </w:p>
    <w:p w14:paraId="0E1B87AB" w14:textId="77777777" w:rsidR="00FC51E3" w:rsidRPr="00FC51E3" w:rsidRDefault="00FC51E3" w:rsidP="00FC51E3">
      <w:pPr>
        <w:spacing w:after="209" w:line="265" w:lineRule="auto"/>
        <w:ind w:left="10" w:right="48" w:hanging="10"/>
        <w:jc w:val="center"/>
        <w:rPr>
          <w:rFonts w:ascii="Arial" w:eastAsia="Arial" w:hAnsi="Arial" w:cs="Arial"/>
          <w:color w:val="000000"/>
          <w:sz w:val="16"/>
          <w:lang w:eastAsia="es-MX"/>
        </w:rPr>
      </w:pPr>
      <w:r w:rsidRPr="00FC51E3">
        <w:rPr>
          <w:rFonts w:ascii="Arial" w:eastAsia="Arial" w:hAnsi="Arial" w:cs="Arial"/>
          <w:b/>
          <w:color w:val="000000"/>
          <w:sz w:val="18"/>
          <w:lang w:eastAsia="es-MX"/>
        </w:rPr>
        <w:t xml:space="preserve">_______________________________ </w:t>
      </w:r>
    </w:p>
    <w:p w14:paraId="5130577A" w14:textId="77777777" w:rsidR="00FC51E3" w:rsidRPr="00FC51E3" w:rsidRDefault="00FC51E3" w:rsidP="00FC51E3">
      <w:pPr>
        <w:spacing w:after="209" w:line="265" w:lineRule="auto"/>
        <w:ind w:left="10" w:right="48" w:hanging="10"/>
        <w:jc w:val="center"/>
        <w:rPr>
          <w:rFonts w:ascii="Arial" w:eastAsia="Arial" w:hAnsi="Arial" w:cs="Arial"/>
          <w:color w:val="000000"/>
          <w:sz w:val="16"/>
          <w:lang w:eastAsia="es-MX"/>
        </w:rPr>
      </w:pPr>
      <w:r w:rsidRPr="00FC51E3">
        <w:rPr>
          <w:rFonts w:ascii="Arial" w:eastAsia="Arial" w:hAnsi="Arial" w:cs="Arial"/>
          <w:b/>
          <w:color w:val="000000"/>
          <w:sz w:val="18"/>
          <w:lang w:eastAsia="es-MX"/>
        </w:rPr>
        <w:t xml:space="preserve">NOMBRE COMPLETO Y FIRMA </w:t>
      </w:r>
    </w:p>
    <w:p w14:paraId="4698D18A" w14:textId="77777777" w:rsidR="00E87089" w:rsidRDefault="00E87089"/>
    <w:sectPr w:rsidR="00E87089">
      <w:footerReference w:type="even" r:id="rId5"/>
      <w:footerReference w:type="default" r:id="rId6"/>
      <w:footerReference w:type="first" r:id="rId7"/>
      <w:pgSz w:w="12240" w:h="15840"/>
      <w:pgMar w:top="1017" w:right="1020" w:bottom="1082" w:left="10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E5FF1" w14:textId="77777777" w:rsidR="00704D76" w:rsidRDefault="00FC51E3">
    <w:pPr>
      <w:spacing w:after="0"/>
      <w:ind w:left="1"/>
      <w:jc w:val="center"/>
    </w:pPr>
    <w:r>
      <w:rPr>
        <w:rFonts w:ascii="Arial" w:eastAsia="Arial" w:hAnsi="Arial" w:cs="Arial"/>
      </w:rPr>
      <w:fldChar w:fldCharType="begin"/>
    </w:r>
    <w:r>
      <w:instrText xml:space="preserve"> PAGE   \* MERGEFORMAT </w:instrText>
    </w:r>
    <w:r>
      <w:rPr>
        <w:rFonts w:ascii="Arial" w:eastAsia="Arial" w:hAnsi="Arial" w:cs="Arial"/>
      </w:rP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B3F35" w14:textId="77777777" w:rsidR="00704D76" w:rsidRDefault="00FC51E3">
    <w:pPr>
      <w:spacing w:after="0"/>
      <w:ind w:left="1"/>
      <w:jc w:val="center"/>
    </w:pPr>
    <w:r>
      <w:rPr>
        <w:rFonts w:ascii="Arial" w:eastAsia="Arial" w:hAnsi="Arial" w:cs="Arial"/>
      </w:rPr>
      <w:fldChar w:fldCharType="begin"/>
    </w:r>
    <w:r>
      <w:instrText xml:space="preserve"> PAGE   \* MERGEFORMAT </w:instrText>
    </w:r>
    <w:r>
      <w:rPr>
        <w:rFonts w:ascii="Arial" w:eastAsia="Arial" w:hAnsi="Arial" w:cs="Arial"/>
      </w:rPr>
      <w:fldChar w:fldCharType="separate"/>
    </w:r>
    <w:r w:rsidRPr="006677A2">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1CC25" w14:textId="77777777" w:rsidR="00704D76" w:rsidRDefault="00FC51E3"/>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15C3"/>
    <w:multiLevelType w:val="hybridMultilevel"/>
    <w:tmpl w:val="086A32A2"/>
    <w:lvl w:ilvl="0" w:tplc="CC264EF0">
      <w:start w:val="1"/>
      <w:numFmt w:val="upperRoman"/>
      <w:lvlText w:val="%1."/>
      <w:lvlJc w:val="left"/>
      <w:pPr>
        <w:ind w:left="801"/>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C37032AC">
      <w:start w:val="1"/>
      <w:numFmt w:val="lowerLetter"/>
      <w:lvlText w:val="%2"/>
      <w:lvlJc w:val="left"/>
      <w:pPr>
        <w:ind w:left="10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4D02ACF0">
      <w:start w:val="1"/>
      <w:numFmt w:val="lowerRoman"/>
      <w:lvlText w:val="%3"/>
      <w:lvlJc w:val="left"/>
      <w:pPr>
        <w:ind w:left="18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F140C4C8">
      <w:start w:val="1"/>
      <w:numFmt w:val="decimal"/>
      <w:lvlText w:val="%4"/>
      <w:lvlJc w:val="left"/>
      <w:pPr>
        <w:ind w:left="25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E53A73C4">
      <w:start w:val="1"/>
      <w:numFmt w:val="lowerLetter"/>
      <w:lvlText w:val="%5"/>
      <w:lvlJc w:val="left"/>
      <w:pPr>
        <w:ind w:left="324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90848724">
      <w:start w:val="1"/>
      <w:numFmt w:val="lowerRoman"/>
      <w:lvlText w:val="%6"/>
      <w:lvlJc w:val="left"/>
      <w:pPr>
        <w:ind w:left="396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1966D162">
      <w:start w:val="1"/>
      <w:numFmt w:val="decimal"/>
      <w:lvlText w:val="%7"/>
      <w:lvlJc w:val="left"/>
      <w:pPr>
        <w:ind w:left="46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1FEC06D2">
      <w:start w:val="1"/>
      <w:numFmt w:val="lowerLetter"/>
      <w:lvlText w:val="%8"/>
      <w:lvlJc w:val="left"/>
      <w:pPr>
        <w:ind w:left="54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F31288F6">
      <w:start w:val="1"/>
      <w:numFmt w:val="lowerRoman"/>
      <w:lvlText w:val="%9"/>
      <w:lvlJc w:val="left"/>
      <w:pPr>
        <w:ind w:left="61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F2E7789"/>
    <w:multiLevelType w:val="hybridMultilevel"/>
    <w:tmpl w:val="201C2B70"/>
    <w:lvl w:ilvl="0" w:tplc="EC366176">
      <w:start w:val="1"/>
      <w:numFmt w:val="upperRoman"/>
      <w:lvlText w:val="%1."/>
      <w:lvlJc w:val="left"/>
      <w:pPr>
        <w:ind w:left="101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970773A">
      <w:start w:val="2"/>
      <w:numFmt w:val="lowerLetter"/>
      <w:lvlText w:val="%2."/>
      <w:lvlJc w:val="left"/>
      <w:pPr>
        <w:ind w:left="158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8729ACC">
      <w:start w:val="1"/>
      <w:numFmt w:val="lowerRoman"/>
      <w:lvlText w:val="%3"/>
      <w:lvlJc w:val="left"/>
      <w:pPr>
        <w:ind w:left="17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CECF56A">
      <w:start w:val="1"/>
      <w:numFmt w:val="decimal"/>
      <w:lvlText w:val="%4"/>
      <w:lvlJc w:val="left"/>
      <w:pPr>
        <w:ind w:left="25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FE88200">
      <w:start w:val="1"/>
      <w:numFmt w:val="lowerLetter"/>
      <w:lvlText w:val="%5"/>
      <w:lvlJc w:val="left"/>
      <w:pPr>
        <w:ind w:left="32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9CFE40F8">
      <w:start w:val="1"/>
      <w:numFmt w:val="lowerRoman"/>
      <w:lvlText w:val="%6"/>
      <w:lvlJc w:val="left"/>
      <w:pPr>
        <w:ind w:left="39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E54AE160">
      <w:start w:val="1"/>
      <w:numFmt w:val="decimal"/>
      <w:lvlText w:val="%7"/>
      <w:lvlJc w:val="left"/>
      <w:pPr>
        <w:ind w:left="46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67A27B2">
      <w:start w:val="1"/>
      <w:numFmt w:val="lowerLetter"/>
      <w:lvlText w:val="%8"/>
      <w:lvlJc w:val="left"/>
      <w:pPr>
        <w:ind w:left="53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53206234">
      <w:start w:val="1"/>
      <w:numFmt w:val="lowerRoman"/>
      <w:lvlText w:val="%9"/>
      <w:lvlJc w:val="left"/>
      <w:pPr>
        <w:ind w:left="61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E3"/>
    <w:rsid w:val="00015A4B"/>
    <w:rsid w:val="00E87089"/>
    <w:rsid w:val="00FC51E3"/>
    <w:rsid w:val="00FD50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C45D"/>
  <w15:chartTrackingRefBased/>
  <w15:docId w15:val="{76F01FF6-E485-46CB-91F3-501E31A2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1429</Words>
  <Characters>7860</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Rangel</dc:creator>
  <cp:keywords>Artículos y Disposiciones</cp:keywords>
  <dc:description/>
  <cp:lastModifiedBy>ALEXANDRO RANGEL</cp:lastModifiedBy>
  <cp:revision>1</cp:revision>
  <dcterms:created xsi:type="dcterms:W3CDTF">2019-06-08T02:53:00Z</dcterms:created>
  <dcterms:modified xsi:type="dcterms:W3CDTF">2019-06-08T02:56:00Z</dcterms:modified>
</cp:coreProperties>
</file>