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32"/>
          <w:szCs w:val="32"/>
        </w:rPr>
        <w:t xml:space="preserve">Painting Exhibition — How Registration &amp; Judging Will Work</w:t>
      </w:r>
    </w:p>
    <w:p>
      <w:pPr>
        <w:spacing w:after="40"/>
      </w:pPr>
      <w:r>
        <w:rPr>
          <w:color w:val="555555"/>
          <w:sz w:val="24"/>
          <w:szCs w:val="24"/>
        </w:rPr>
        <w:t xml:space="preserve">Plan Overview — For Your Review (v3)</w:t>
      </w:r>
    </w:p>
    <w:p>
      <w:pPr>
        <w:spacing w:after="300"/>
      </w:pPr>
      <w:r>
        <w:rPr>
          <w:i/>
          <w:iCs/>
          <w:color w:val="777777"/>
          <w:sz w:val="18"/>
          <w:szCs w:val="18"/>
        </w:rPr>
        <w:t xml:space="preserve">Updated to reflect the decision to build this as a proper web application instead of spreadsheets/forms. No technical setup is described here.</w:t>
      </w:r>
    </w:p>
    <w:p>
      <w:pPr>
        <w:pStyle w:val="Heading1"/>
        <w:spacing w:after="160" w:before="320"/>
      </w:pPr>
      <w:r>
        <w:t xml:space="preserve">1. What This System Will Do</w:t>
      </w:r>
    </w:p>
    <w:p>
      <w:pPr>
        <w:spacing w:after="120"/>
      </w:pPr>
      <w:r>
        <w:t xml:space="preserve">This will manage the painting competition and exhibition from start to finish: a participant signs up, pays, uploads their photo and artwork, gets checked for eligibility, is scored, and finally receives their result and, if applicable, a prize. Every participant's information and status will live in one organized system, so at any point you can see exactly where each entry stands.</w:t>
      </w:r>
    </w:p>
    <w:p>
      <w:pPr>
        <w:spacing w:after="160"/>
      </w:pPr>
      <w:r>
        <w:rPr>
          <w:i/>
          <w:iCs/>
          <w:color w:val="555555"/>
        </w:rPr>
        <w:t xml:space="preserve">Build note: this will be built as a dedicated web application (a proper sign-up website and organizer dashboard) rather than Google Forms and Sheets, which were the original idea. The experience below for participants and organizers stays the same either way — this only changes what's happening behind the scenes.</w:t>
      </w:r>
    </w:p>
    <w:p>
      <w:pPr>
        <w:pStyle w:val="Heading1"/>
        <w:spacing w:after="160" w:before="320"/>
      </w:pPr>
      <w:r>
        <w:t xml:space="preserve">2. Two Ways to Enter</w:t>
      </w:r>
    </w:p>
    <w:p>
      <w:pPr>
        <w:pStyle w:val="Heading2"/>
        <w:spacing w:after="120" w:before="240"/>
      </w:pPr>
      <w:r>
        <w:t xml:space="preserve">Competitive Categories (1, 2, or 3)</w:t>
      </w:r>
    </w:p>
    <w:p>
      <w:pPr>
        <w:spacing w:after="120"/>
      </w:pPr>
      <w:r>
        <w:t xml:space="preserve">These participants use the Category sign-up page. In a single submission, they provide their details, pay the entry fee (UPI only), upload their photo, and upload their artwork (up to two paintings) together.</w:t>
      </w:r>
    </w:p>
    <w:p>
      <w:pPr>
        <w:pStyle w:val="Heading2"/>
        <w:spacing w:after="120" w:before="240"/>
      </w:pPr>
      <w:r>
        <w:t xml:space="preserve">Participation Only</w:t>
      </w:r>
    </w:p>
    <w:p>
      <w:pPr>
        <w:spacing w:after="120"/>
      </w:pPr>
      <w:r>
        <w:t xml:space="preserve">These participants use the Participation sign-up page. They provide their registration number and details, pay via UPI, and can submit one or more paintings together in the same submission. Each painting is recorded as its own entry on our side, with its original submission date kept accurate — even when several are submitted at once.</w:t>
      </w:r>
    </w:p>
    <w:p>
      <w:pPr>
        <w:pStyle w:val="Heading1"/>
        <w:spacing w:after="160" w:before="320"/>
      </w:pPr>
      <w:r>
        <w:t xml:space="preserve">3. The Participant Journey, Step by Step</w:t>
      </w:r>
    </w:p>
    <w:p>
      <w:pPr>
        <w:pStyle w:val="Heading2"/>
        <w:spacing w:after="120" w:before="240"/>
      </w:pPr>
      <w:r>
        <w:t xml:space="preserve">Step 1 — Sign Up &amp; Pay</w:t>
      </w:r>
    </w:p>
    <w:p>
      <w:pPr>
        <w:spacing w:after="120"/>
      </w:pPr>
      <w:r>
        <w:t xml:space="preserve">Depending on their entry type, the participant fills in the Category or Participation sign-up page, pays by UPI, and uploads their photo and artwork as described above.</w:t>
      </w:r>
    </w:p>
    <w:p>
      <w:pPr>
        <w:pStyle w:val="Heading2"/>
        <w:spacing w:after="120" w:before="240"/>
      </w:pPr>
      <w:r>
        <w:t xml:space="preserve">Step 2 — Checks Before Acceptance</w:t>
      </w:r>
    </w:p>
    <w:p>
      <w:pPr>
        <w:spacing w:after="120"/>
      </w:pPr>
      <w:r>
        <w:t xml:space="preserve">Before an entry is confirmed, the system checks that:</w:t>
      </w:r>
    </w:p>
    <w:p>
      <w:pPr>
        <w:pStyle w:val="ListParagraph"/>
        <w:numPr>
          <w:ilvl w:val="0"/>
          <w:numId w:val="2"/>
        </w:numPr>
        <w:spacing w:after="60"/>
      </w:pPr>
      <w:r>
        <w:t xml:space="preserve">The UPI payment actually matches the amount owed for their category.</w:t>
      </w:r>
    </w:p>
    <w:p>
      <w:pPr>
        <w:pStyle w:val="ListParagraph"/>
        <w:numPr>
          <w:ilvl w:val="0"/>
          <w:numId w:val="2"/>
        </w:numPr>
        <w:spacing w:after="60"/>
      </w:pPr>
      <w:r>
        <w:t xml:space="preserve">The payment reference is genuine — not reused by someone else and not just self-reported.</w:t>
      </w:r>
    </w:p>
    <w:p>
      <w:pPr>
        <w:pStyle w:val="ListParagraph"/>
        <w:numPr>
          <w:ilvl w:val="0"/>
          <w:numId w:val="2"/>
        </w:numPr>
        <w:spacing w:after="60"/>
      </w:pPr>
      <w:r>
        <w:t xml:space="preserve">The participant's age matches the category they signed up for (competitive categories only).</w:t>
      </w:r>
    </w:p>
    <w:p>
      <w:pPr>
        <w:pStyle w:val="ListParagraph"/>
        <w:numPr>
          <w:ilvl w:val="0"/>
          <w:numId w:val="2"/>
        </w:numPr>
        <w:spacing w:after="60"/>
      </w:pPr>
      <w:r>
        <w:t xml:space="preserve">No one has accidentally (or intentionally) registered twice.</w:t>
      </w:r>
    </w:p>
    <w:p>
      <w:pPr>
        <w:pStyle w:val="ListParagraph"/>
        <w:numPr>
          <w:ilvl w:val="0"/>
          <w:numId w:val="2"/>
        </w:numPr>
        <w:spacing w:after="60"/>
      </w:pPr>
      <w:r>
        <w:t xml:space="preserve">The photo and artwork files uploaded are usable — right format and size.</w:t>
      </w:r>
    </w:p>
    <w:p>
      <w:pPr>
        <w:pStyle w:val="ListParagraph"/>
        <w:numPr>
          <w:ilvl w:val="0"/>
          <w:numId w:val="2"/>
        </w:numPr>
        <w:spacing w:after="60"/>
      </w:pPr>
      <w:r>
        <w:t xml:space="preserve">The participant has given their consent (and a parent/guardian's consent too, if they are under 18).</w:t>
      </w:r>
    </w:p>
    <w:p>
      <w:pPr>
        <w:spacing w:after="120"/>
      </w:pPr>
      <w:r>
        <w:t xml:space="preserve">Only once all of these pass does a registration count as "Complete," and the participant is issued an ID number for this event.</w:t>
      </w:r>
    </w:p>
    <w:p>
      <w:pPr>
        <w:pStyle w:val="Heading2"/>
        <w:spacing w:after="120" w:before="240"/>
      </w:pPr>
      <w:r>
        <w:t xml:space="preserve">Step 3 — I-Cards &amp; Posters</w:t>
      </w:r>
    </w:p>
    <w:p>
      <w:pPr>
        <w:spacing w:after="120"/>
      </w:pPr>
      <w:r>
        <w:t xml:space="preserve">Each participant's photo is used to prepare their I-Card. Each submitted painting is used to prepare the exhibition poster. Preparing the actual I-Card and poster designs is a manual step done by the organizing team — the system holds the photo, artwork, and participant details needed to do that, but does not generate the printed card or poster itself.</w:t>
      </w:r>
    </w:p>
    <w:p>
      <w:pPr>
        <w:pStyle w:val="Heading2"/>
        <w:spacing w:after="120" w:before="240"/>
      </w:pPr>
      <w:r>
        <w:t xml:space="preserve">Step 4 — Scoring &amp; Results</w:t>
      </w:r>
    </w:p>
    <w:p>
      <w:pPr>
        <w:spacing w:after="120"/>
      </w:pPr>
      <w:r>
        <w:t xml:space="preserve">Accepted artworks are scored against a consistent set of criteria, and results (First, Second, Third) are worked out per category from those scores.</w:t>
      </w:r>
    </w:p>
    <w:p>
      <w:pPr>
        <w:pStyle w:val="Heading2"/>
        <w:spacing w:after="120" w:before="240"/>
      </w:pPr>
      <w:r>
        <w:t xml:space="preserve">Step 5 — Results &amp; Prizes</w:t>
      </w:r>
    </w:p>
    <w:p>
      <w:pPr>
        <w:spacing w:after="120"/>
      </w:pPr>
      <w:r>
        <w:t xml:space="preserve">Winners are announced, certificates are prepared, and prizes are dispatched with tracking. Entry fees are non-refundable. The only exception is a genuine case, which is reviewed and decided entirely at the organizers' discretion — there is no automatic refund process.</w:t>
      </w:r>
    </w:p>
    <w:p>
      <w:pPr>
        <w:pStyle w:val="Heading1"/>
        <w:spacing w:after="160" w:before="320"/>
      </w:pPr>
      <w:r>
        <w:t xml:space="preserve">4. What's Improved From the First Draft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3200"/>
        <w:gridCol w:w="6700"/>
      </w:tblGrid>
      <w:tr>
        <w:trPr>
          <w:tblHeader/>
        </w:trPr>
        <w:tc>
          <w:tcPr>
            <w:tcW w:type="dxa" w:w="3200"/>
            <w:shd w:fill="1F3864" w:val="clear"/>
            <w:tcMar>
              <w:top w:type="dxa" w:w="80"/>
              <w:left w:type="dxa" w:w="100"/>
              <w:bottom w:type="dxa" w:w="80"/>
              <w:right w:type="dxa" w:w="100"/>
            </w:tcMar>
          </w:tcPr>
          <w:p>
            <w:pPr>
              <w:jc w:val="left"/>
            </w:pPr>
            <w:r>
              <w:rPr>
                <w:b/>
                <w:bCs/>
                <w:color w:val="FFFFFF"/>
                <w:sz w:val="20"/>
                <w:szCs w:val="20"/>
              </w:rPr>
              <w:t xml:space="preserve">Situation</w:t>
            </w:r>
          </w:p>
        </w:tc>
        <w:tc>
          <w:tcPr>
            <w:tcW w:type="dxa" w:w="6700"/>
            <w:shd w:fill="1F3864" w:val="clear"/>
            <w:tcMar>
              <w:top w:type="dxa" w:w="80"/>
              <w:left w:type="dxa" w:w="100"/>
              <w:bottom w:type="dxa" w:w="80"/>
              <w:right w:type="dxa" w:w="100"/>
            </w:tcMar>
          </w:tcPr>
          <w:p>
            <w:pPr>
              <w:jc w:val="left"/>
            </w:pPr>
            <w:r>
              <w:rPr>
                <w:b/>
                <w:bCs/>
                <w:color w:val="FFFFFF"/>
                <w:sz w:val="20"/>
                <w:szCs w:val="20"/>
              </w:rPr>
              <w:t xml:space="preserve">What Happens Now</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Someone claims they paid, but didn't</w:t>
            </w:r>
          </w:p>
        </w:tc>
        <w:tc>
          <w:tcPr>
            <w:tcW w:type="dxa" w:w="6700"/>
            <w:tcMar>
              <w:top w:type="dxa" w:w="80"/>
              <w:left w:type="dxa" w:w="100"/>
              <w:bottom w:type="dxa" w:w="80"/>
              <w:right w:type="dxa" w:w="100"/>
            </w:tcMar>
          </w:tcPr>
          <w:p>
            <w:pPr>
              <w:jc w:val="left"/>
            </w:pPr>
            <w:r>
              <w:rPr>
                <w:b w:val="false"/>
                <w:bCs w:val="false"/>
                <w:color w:val="000000"/>
                <w:sz w:val="20"/>
                <w:szCs w:val="20"/>
              </w:rPr>
              <w:t xml:space="preserve">UPI payments are checked against the actual UPI statement before an entry is marked "Paid" — not just taken on the participant's word.</w:t>
            </w:r>
          </w:p>
        </w:tc>
      </w:tr>
      <w:tr>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A participant signs up for the wrong age category</w:t>
            </w:r>
          </w:p>
        </w:tc>
        <w:tc>
          <w:tcPr>
            <w:tcW w:type="dxa" w:w="6700"/>
            <w:shd w:fill="F2F2F2" w:val="clear"/>
            <w:tcMar>
              <w:top w:type="dxa" w:w="80"/>
              <w:left w:type="dxa" w:w="100"/>
              <w:bottom w:type="dxa" w:w="80"/>
              <w:right w:type="dxa" w:w="100"/>
            </w:tcMar>
          </w:tcPr>
          <w:p>
            <w:pPr>
              <w:jc w:val="left"/>
            </w:pPr>
            <w:r>
              <w:rPr>
                <w:b w:val="false"/>
                <w:bCs w:val="false"/>
                <w:color w:val="000000"/>
                <w:sz w:val="20"/>
                <w:szCs w:val="20"/>
              </w:rPr>
              <w:t xml:space="preserve">Date of birth is checked against the chosen category automatically, and any mismatch is flagged for review.</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The same person (or payment) shows up twice</w:t>
            </w:r>
          </w:p>
        </w:tc>
        <w:tc>
          <w:tcPr>
            <w:tcW w:type="dxa" w:w="6700"/>
            <w:tcMar>
              <w:top w:type="dxa" w:w="80"/>
              <w:left w:type="dxa" w:w="100"/>
              <w:bottom w:type="dxa" w:w="80"/>
              <w:right w:type="dxa" w:w="100"/>
            </w:tcMar>
          </w:tcPr>
          <w:p>
            <w:pPr>
              <w:jc w:val="left"/>
            </w:pPr>
            <w:r>
              <w:rPr>
                <w:b w:val="false"/>
                <w:bCs w:val="false"/>
                <w:color w:val="000000"/>
                <w:sz w:val="20"/>
                <w:szCs w:val="20"/>
              </w:rPr>
              <w:t xml:space="preserve">Duplicate entries and reused payment references are automatically caught and flagged.</w:t>
            </w:r>
          </w:p>
        </w:tc>
      </w:tr>
      <w:tr>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Blurry, oversized, or wrong-format uploads</w:t>
            </w:r>
          </w:p>
        </w:tc>
        <w:tc>
          <w:tcPr>
            <w:tcW w:type="dxa" w:w="6700"/>
            <w:shd w:fill="F2F2F2" w:val="clear"/>
            <w:tcMar>
              <w:top w:type="dxa" w:w="80"/>
              <w:left w:type="dxa" w:w="100"/>
              <w:bottom w:type="dxa" w:w="80"/>
              <w:right w:type="dxa" w:w="100"/>
            </w:tcMar>
          </w:tcPr>
          <w:p>
            <w:pPr>
              <w:jc w:val="left"/>
            </w:pPr>
            <w:r>
              <w:rPr>
                <w:b w:val="false"/>
                <w:bCs w:val="false"/>
                <w:color w:val="000000"/>
                <w:sz w:val="20"/>
                <w:szCs w:val="20"/>
              </w:rPr>
              <w:t xml:space="preserve">Photos and paintings are checked against clear rules at the point of upload, since they're used directly for I-Cards and posters.</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Several Participation-only entries submitted at once</w:t>
            </w:r>
          </w:p>
        </w:tc>
        <w:tc>
          <w:tcPr>
            <w:tcW w:type="dxa" w:w="6700"/>
            <w:tcMar>
              <w:top w:type="dxa" w:w="80"/>
              <w:left w:type="dxa" w:w="100"/>
              <w:bottom w:type="dxa" w:w="80"/>
              <w:right w:type="dxa" w:w="100"/>
            </w:tcMar>
          </w:tcPr>
          <w:p>
            <w:pPr>
              <w:jc w:val="left"/>
            </w:pPr>
            <w:r>
              <w:rPr>
                <w:b w:val="false"/>
                <w:bCs w:val="false"/>
                <w:color w:val="000000"/>
                <w:sz w:val="20"/>
                <w:szCs w:val="20"/>
              </w:rPr>
              <w:t xml:space="preserve">Each painting is split into its own entry with the correct original date, instead of being bundled or misdated.</w:t>
            </w:r>
          </w:p>
        </w:tc>
      </w:tr>
      <w:tr>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How results are worked out</w:t>
            </w:r>
          </w:p>
        </w:tc>
        <w:tc>
          <w:tcPr>
            <w:tcW w:type="dxa" w:w="6700"/>
            <w:shd w:fill="F2F2F2" w:val="clear"/>
            <w:tcMar>
              <w:top w:type="dxa" w:w="80"/>
              <w:left w:type="dxa" w:w="100"/>
              <w:bottom w:type="dxa" w:w="80"/>
              <w:right w:type="dxa" w:w="100"/>
            </w:tcMar>
          </w:tcPr>
          <w:p>
            <w:pPr>
              <w:jc w:val="left"/>
            </w:pPr>
            <w:r>
              <w:rPr>
                <w:b w:val="false"/>
                <w:bCs w:val="false"/>
                <w:color w:val="000000"/>
                <w:sz w:val="20"/>
                <w:szCs w:val="20"/>
              </w:rPr>
              <w:t xml:space="preserve">A consistent scoring approach determines First, Second, and Third per category.</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Refunds</w:t>
            </w:r>
          </w:p>
        </w:tc>
        <w:tc>
          <w:tcPr>
            <w:tcW w:type="dxa" w:w="6700"/>
            <w:tcMar>
              <w:top w:type="dxa" w:w="80"/>
              <w:left w:type="dxa" w:w="100"/>
              <w:bottom w:type="dxa" w:w="80"/>
              <w:right w:type="dxa" w:w="100"/>
            </w:tcMar>
          </w:tcPr>
          <w:p>
            <w:pPr>
              <w:jc w:val="left"/>
            </w:pPr>
            <w:r>
              <w:rPr>
                <w:b w:val="false"/>
                <w:bCs w:val="false"/>
                <w:color w:val="000000"/>
                <w:sz w:val="20"/>
                <w:szCs w:val="20"/>
              </w:rPr>
              <w:t xml:space="preserve">No refunds by default. Genuine cases only, decided case-by-case at the organizers' discretion — not an automatic process.</w:t>
            </w:r>
          </w:p>
        </w:tc>
      </w:tr>
      <w:tr>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Keeping participants informed</w:t>
            </w:r>
          </w:p>
        </w:tc>
        <w:tc>
          <w:tcPr>
            <w:tcW w:type="dxa" w:w="6700"/>
            <w:shd w:fill="F2F2F2" w:val="clear"/>
            <w:tcMar>
              <w:top w:type="dxa" w:w="80"/>
              <w:left w:type="dxa" w:w="100"/>
              <w:bottom w:type="dxa" w:w="80"/>
              <w:right w:type="dxa" w:w="100"/>
            </w:tcMar>
          </w:tcPr>
          <w:p>
            <w:pPr>
              <w:jc w:val="left"/>
            </w:pPr>
            <w:r>
              <w:rPr>
                <w:b w:val="false"/>
                <w:bCs w:val="false"/>
                <w:color w:val="000000"/>
                <w:sz w:val="20"/>
                <w:szCs w:val="20"/>
              </w:rPr>
              <w:t xml:space="preserve">Ready-made WhatsApp message templates are provided for each key stage (registered, accepted, results, dispatch) — sent manually by the organizer, whenever they choose.</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Consent</w:t>
            </w:r>
          </w:p>
        </w:tc>
        <w:tc>
          <w:tcPr>
            <w:tcW w:type="dxa" w:w="6700"/>
            <w:tcMar>
              <w:top w:type="dxa" w:w="80"/>
              <w:left w:type="dxa" w:w="100"/>
              <w:bottom w:type="dxa" w:w="80"/>
              <w:right w:type="dxa" w:w="100"/>
            </w:tcMar>
          </w:tcPr>
          <w:p>
            <w:pPr>
              <w:jc w:val="left"/>
            </w:pPr>
            <w:r>
              <w:rPr>
                <w:b w:val="false"/>
                <w:bCs w:val="false"/>
                <w:color w:val="000000"/>
                <w:sz w:val="20"/>
                <w:szCs w:val="20"/>
              </w:rPr>
              <w:t xml:space="preserve">Every participant confirms their own consent at sign-up; a parent/guardian additionally consents for entrants under 18.</w:t>
            </w:r>
          </w:p>
        </w:tc>
      </w:tr>
      <w:tr>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Who can see participant details</w:t>
            </w:r>
          </w:p>
        </w:tc>
        <w:tc>
          <w:tcPr>
            <w:tcW w:type="dxa" w:w="6700"/>
            <w:shd w:fill="F2F2F2" w:val="clear"/>
            <w:tcMar>
              <w:top w:type="dxa" w:w="80"/>
              <w:left w:type="dxa" w:w="100"/>
              <w:bottom w:type="dxa" w:w="80"/>
              <w:right w:type="dxa" w:w="100"/>
            </w:tcMar>
          </w:tcPr>
          <w:p>
            <w:pPr>
              <w:jc w:val="left"/>
            </w:pPr>
            <w:r>
              <w:rPr>
                <w:b w:val="false"/>
                <w:bCs w:val="false"/>
                <w:color w:val="000000"/>
                <w:sz w:val="20"/>
                <w:szCs w:val="20"/>
              </w:rPr>
              <w:t xml:space="preserve">Only the organizers have access to full participant details — no other party sees contact info or payment details.</w:t>
            </w:r>
          </w:p>
        </w:tc>
      </w:tr>
      <w:tr>
        <w:tc>
          <w:tcPr>
            <w:tcW w:type="dxa" w:w="3200"/>
            <w:tcMar>
              <w:top w:type="dxa" w:w="80"/>
              <w:left w:type="dxa" w:w="100"/>
              <w:bottom w:type="dxa" w:w="80"/>
              <w:right w:type="dxa" w:w="100"/>
            </w:tcMar>
          </w:tcPr>
          <w:p>
            <w:pPr>
              <w:jc w:val="left"/>
            </w:pPr>
            <w:r>
              <w:rPr>
                <w:b w:val="false"/>
                <w:bCs w:val="false"/>
                <w:color w:val="000000"/>
                <w:sz w:val="20"/>
                <w:szCs w:val="20"/>
              </w:rPr>
              <w:t xml:space="preserve">A unique ID for each participant</w:t>
            </w:r>
          </w:p>
        </w:tc>
        <w:tc>
          <w:tcPr>
            <w:tcW w:type="dxa" w:w="6700"/>
            <w:tcMar>
              <w:top w:type="dxa" w:w="80"/>
              <w:left w:type="dxa" w:w="100"/>
              <w:bottom w:type="dxa" w:w="80"/>
              <w:right w:type="dxa" w:w="100"/>
            </w:tcMar>
          </w:tcPr>
          <w:p>
            <w:pPr>
              <w:jc w:val="left"/>
            </w:pPr>
            <w:r>
              <w:rPr>
                <w:b w:val="false"/>
                <w:bCs w:val="false"/>
                <w:color w:val="000000"/>
                <w:sz w:val="20"/>
                <w:szCs w:val="20"/>
              </w:rPr>
              <w:t xml:space="preserve">Every completed registration gets an ID number for this event — it does not need to carry over to future exhibitions.</w:t>
            </w:r>
          </w:p>
        </w:tc>
      </w:tr>
      <w:tr>
        <w:tc>
          <w:tcPr>
            <w:tcW w:type="dxa" w:w="3200"/>
            <w:shd w:fill="F2F2F2" w:val="clear"/>
            <w:tcMar>
              <w:top w:type="dxa" w:w="80"/>
              <w:left w:type="dxa" w:w="100"/>
              <w:bottom w:type="dxa" w:w="80"/>
              <w:right w:type="dxa" w:w="100"/>
            </w:tcMar>
          </w:tcPr>
          <w:p>
            <w:pPr>
              <w:jc w:val="left"/>
            </w:pPr>
            <w:r>
              <w:rPr>
                <w:b w:val="false"/>
                <w:bCs w:val="false"/>
                <w:color w:val="000000"/>
                <w:sz w:val="20"/>
                <w:szCs w:val="20"/>
              </w:rPr>
              <w:t xml:space="preserve">How the system itself is built</w:t>
            </w:r>
          </w:p>
        </w:tc>
        <w:tc>
          <w:tcPr>
            <w:tcW w:type="dxa" w:w="6700"/>
            <w:shd w:fill="F2F2F2" w:val="clear"/>
            <w:tcMar>
              <w:top w:type="dxa" w:w="80"/>
              <w:left w:type="dxa" w:w="100"/>
              <w:bottom w:type="dxa" w:w="80"/>
              <w:right w:type="dxa" w:w="100"/>
            </w:tcMar>
          </w:tcPr>
          <w:p>
            <w:pPr>
              <w:jc w:val="left"/>
            </w:pPr>
            <w:r>
              <w:rPr>
                <w:b w:val="false"/>
                <w:bCs w:val="false"/>
                <w:color w:val="000000"/>
                <w:sz w:val="20"/>
                <w:szCs w:val="20"/>
              </w:rPr>
              <w:t xml:space="preserve">A proper sign-up website and organizer dashboard, instead of Google Forms and spreadsheets — smoother for participants, and far less fragile for you to run.</w:t>
            </w:r>
          </w:p>
        </w:tc>
      </w:tr>
    </w:tbl>
    <w:p>
      <w:pPr>
        <w:pStyle w:val="Heading1"/>
        <w:spacing w:after="160" w:before="320"/>
      </w:pPr>
      <w:r>
        <w:t xml:space="preserve">5. Entry Fee Structure (Unchanged)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300"/>
        <w:gridCol w:w="2200"/>
      </w:tblGrid>
      <w:tr>
        <w:trPr>
          <w:tblHeader/>
        </w:trPr>
        <w:tc>
          <w:tcPr>
            <w:tcW w:type="dxa" w:w="2200"/>
            <w:shd w:fill="1F3864" w:val="clear"/>
            <w:tcMar>
              <w:top w:type="dxa" w:w="80"/>
              <w:left w:type="dxa" w:w="100"/>
              <w:bottom w:type="dxa" w:w="80"/>
              <w:right w:type="dxa" w:w="100"/>
            </w:tcMar>
          </w:tcPr>
          <w:p>
            <w:pPr>
              <w:jc w:val="left"/>
            </w:pPr>
            <w:r>
              <w:rPr>
                <w:b/>
                <w:bCs/>
                <w:color w:val="FFFFFF"/>
                <w:sz w:val="20"/>
                <w:szCs w:val="20"/>
              </w:rPr>
              <w:t xml:space="preserve">Category</w:t>
            </w:r>
          </w:p>
        </w:tc>
        <w:tc>
          <w:tcPr>
            <w:tcW w:type="dxa" w:w="2200"/>
            <w:shd w:fill="1F3864" w:val="clear"/>
            <w:tcMar>
              <w:top w:type="dxa" w:w="80"/>
              <w:left w:type="dxa" w:w="100"/>
              <w:bottom w:type="dxa" w:w="80"/>
              <w:right w:type="dxa" w:w="100"/>
            </w:tcMar>
          </w:tcPr>
          <w:p>
            <w:pPr>
              <w:jc w:val="left"/>
            </w:pPr>
            <w:r>
              <w:rPr>
                <w:b/>
                <w:bCs/>
                <w:color w:val="FFFFFF"/>
                <w:sz w:val="20"/>
                <w:szCs w:val="20"/>
              </w:rPr>
              <w:t xml:space="preserve">Age Group</w:t>
            </w:r>
          </w:p>
        </w:tc>
        <w:tc>
          <w:tcPr>
            <w:tcW w:type="dxa" w:w="3300"/>
            <w:shd w:fill="1F3864" w:val="clear"/>
            <w:tcMar>
              <w:top w:type="dxa" w:w="80"/>
              <w:left w:type="dxa" w:w="100"/>
              <w:bottom w:type="dxa" w:w="80"/>
              <w:right w:type="dxa" w:w="100"/>
            </w:tcMar>
          </w:tcPr>
          <w:p>
            <w:pPr>
              <w:jc w:val="left"/>
            </w:pPr>
            <w:r>
              <w:rPr>
                <w:b/>
                <w:bCs/>
                <w:color w:val="FFFFFF"/>
                <w:sz w:val="20"/>
                <w:szCs w:val="20"/>
              </w:rPr>
              <w:t xml:space="preserve">Entry Fee (2 entries)</w:t>
            </w:r>
          </w:p>
        </w:tc>
        <w:tc>
          <w:tcPr>
            <w:tcW w:type="dxa" w:w="2200"/>
            <w:shd w:fill="1F3864" w:val="clear"/>
            <w:tcMar>
              <w:top w:type="dxa" w:w="80"/>
              <w:left w:type="dxa" w:w="100"/>
              <w:bottom w:type="dxa" w:w="80"/>
              <w:right w:type="dxa" w:w="100"/>
            </w:tcMar>
          </w:tcPr>
          <w:p>
            <w:pPr>
              <w:jc w:val="left"/>
            </w:pPr>
            <w:r>
              <w:rPr>
                <w:b/>
                <w:bCs/>
                <w:color w:val="FFFFFF"/>
                <w:sz w:val="20"/>
                <w:szCs w:val="20"/>
              </w:rPr>
              <w:t xml:space="preserve">Mediums Allowed</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1</w:t>
            </w:r>
          </w:p>
        </w:tc>
        <w:tc>
          <w:tcPr>
            <w:tcW w:type="dxa" w:w="2200"/>
            <w:tcMar>
              <w:top w:type="dxa" w:w="80"/>
              <w:left w:type="dxa" w:w="100"/>
              <w:bottom w:type="dxa" w:w="80"/>
              <w:right w:type="dxa" w:w="100"/>
            </w:tcMar>
          </w:tcPr>
          <w:p>
            <w:pPr>
              <w:jc w:val="left"/>
            </w:pPr>
            <w:r>
              <w:rPr>
                <w:b w:val="false"/>
                <w:bCs w:val="false"/>
                <w:color w:val="000000"/>
                <w:sz w:val="20"/>
                <w:szCs w:val="20"/>
              </w:rPr>
              <w:t xml:space="preserve">5–10 years</w:t>
            </w:r>
          </w:p>
        </w:tc>
        <w:tc>
          <w:tcPr>
            <w:tcW w:type="dxa" w:w="3300"/>
            <w:tcMar>
              <w:top w:type="dxa" w:w="80"/>
              <w:left w:type="dxa" w:w="100"/>
              <w:bottom w:type="dxa" w:w="80"/>
              <w:right w:type="dxa" w:w="100"/>
            </w:tcMar>
          </w:tcPr>
          <w:p>
            <w:pPr>
              <w:jc w:val="left"/>
            </w:pPr>
            <w:r>
              <w:rPr>
                <w:b w:val="false"/>
                <w:bCs w:val="false"/>
                <w:color w:val="000000"/>
                <w:sz w:val="20"/>
                <w:szCs w:val="20"/>
              </w:rPr>
              <w:t xml:space="preserve">₹399</w:t>
            </w:r>
          </w:p>
        </w:tc>
        <w:tc>
          <w:tcPr>
            <w:tcW w:type="dxa" w:w="2200"/>
            <w:tcMar>
              <w:top w:type="dxa" w:w="80"/>
              <w:left w:type="dxa" w:w="100"/>
              <w:bottom w:type="dxa" w:w="80"/>
              <w:right w:type="dxa" w:w="100"/>
            </w:tcMar>
          </w:tcPr>
          <w:p>
            <w:pPr>
              <w:jc w:val="left"/>
            </w:pPr>
            <w:r>
              <w:rPr>
                <w:b w:val="false"/>
                <w:bCs w:val="false"/>
                <w:color w:val="000000"/>
                <w:sz w:val="20"/>
                <w:szCs w:val="20"/>
              </w:rPr>
              <w:t xml:space="preserve">Pencil colours, crayon colours, water colours</w:t>
            </w:r>
          </w:p>
        </w:tc>
      </w:tr>
      <w:tr>
        <w:tc>
          <w:tcPr>
            <w:tcW w:type="dxa" w:w="2200"/>
            <w:shd w:fill="F2F2F2" w:val="clear"/>
            <w:tcMar>
              <w:top w:type="dxa" w:w="80"/>
              <w:left w:type="dxa" w:w="100"/>
              <w:bottom w:type="dxa" w:w="80"/>
              <w:right w:type="dxa" w:w="100"/>
            </w:tcMar>
          </w:tcPr>
          <w:p>
            <w:pPr>
              <w:jc w:val="left"/>
            </w:pPr>
            <w:r>
              <w:rPr>
                <w:b w:val="false"/>
                <w:bCs w:val="false"/>
                <w:color w:val="000000"/>
                <w:sz w:val="20"/>
                <w:szCs w:val="20"/>
              </w:rPr>
              <w:t xml:space="preserve">2</w:t>
            </w:r>
          </w:p>
        </w:tc>
        <w:tc>
          <w:tcPr>
            <w:tcW w:type="dxa" w:w="2200"/>
            <w:shd w:fill="F2F2F2" w:val="clear"/>
            <w:tcMar>
              <w:top w:type="dxa" w:w="80"/>
              <w:left w:type="dxa" w:w="100"/>
              <w:bottom w:type="dxa" w:w="80"/>
              <w:right w:type="dxa" w:w="100"/>
            </w:tcMar>
          </w:tcPr>
          <w:p>
            <w:pPr>
              <w:jc w:val="left"/>
            </w:pPr>
            <w:r>
              <w:rPr>
                <w:b w:val="false"/>
                <w:bCs w:val="false"/>
                <w:color w:val="000000"/>
                <w:sz w:val="20"/>
                <w:szCs w:val="20"/>
              </w:rPr>
              <w:t xml:space="preserve">10+ to 18 years</w:t>
            </w:r>
          </w:p>
        </w:tc>
        <w:tc>
          <w:tcPr>
            <w:tcW w:type="dxa" w:w="3300"/>
            <w:shd w:fill="F2F2F2" w:val="clear"/>
            <w:tcMar>
              <w:top w:type="dxa" w:w="80"/>
              <w:left w:type="dxa" w:w="100"/>
              <w:bottom w:type="dxa" w:w="80"/>
              <w:right w:type="dxa" w:w="100"/>
            </w:tcMar>
          </w:tcPr>
          <w:p>
            <w:pPr>
              <w:jc w:val="left"/>
            </w:pPr>
            <w:r>
              <w:rPr>
                <w:b w:val="false"/>
                <w:bCs w:val="false"/>
                <w:color w:val="000000"/>
                <w:sz w:val="20"/>
                <w:szCs w:val="20"/>
              </w:rPr>
              <w:t xml:space="preserve">₹499</w:t>
            </w:r>
          </w:p>
        </w:tc>
        <w:tc>
          <w:tcPr>
            <w:tcW w:type="dxa" w:w="2200"/>
            <w:shd w:fill="F2F2F2" w:val="clear"/>
            <w:tcMar>
              <w:top w:type="dxa" w:w="80"/>
              <w:left w:type="dxa" w:w="100"/>
              <w:bottom w:type="dxa" w:w="80"/>
              <w:right w:type="dxa" w:w="100"/>
            </w:tcMar>
          </w:tcPr>
          <w:p>
            <w:pPr>
              <w:jc w:val="left"/>
            </w:pPr>
            <w:r>
              <w:rPr>
                <w:b w:val="false"/>
                <w:bCs w:val="false"/>
                <w:color w:val="000000"/>
                <w:sz w:val="20"/>
                <w:szCs w:val="20"/>
              </w:rPr>
              <w:t xml:space="preserve">Water colours, acrylic colours, mixed media</w:t>
            </w:r>
          </w:p>
        </w:tc>
      </w:tr>
      <w:tr>
        <w:tc>
          <w:tcPr>
            <w:tcW w:type="dxa" w:w="2200"/>
            <w:tcMar>
              <w:top w:type="dxa" w:w="80"/>
              <w:left w:type="dxa" w:w="100"/>
              <w:bottom w:type="dxa" w:w="80"/>
              <w:right w:type="dxa" w:w="100"/>
            </w:tcMar>
          </w:tcPr>
          <w:p>
            <w:pPr>
              <w:jc w:val="left"/>
            </w:pPr>
            <w:r>
              <w:rPr>
                <w:b w:val="false"/>
                <w:bCs w:val="false"/>
                <w:color w:val="000000"/>
                <w:sz w:val="20"/>
                <w:szCs w:val="20"/>
              </w:rPr>
              <w:t xml:space="preserve">3</w:t>
            </w:r>
          </w:p>
        </w:tc>
        <w:tc>
          <w:tcPr>
            <w:tcW w:type="dxa" w:w="2200"/>
            <w:tcMar>
              <w:top w:type="dxa" w:w="80"/>
              <w:left w:type="dxa" w:w="100"/>
              <w:bottom w:type="dxa" w:w="80"/>
              <w:right w:type="dxa" w:w="100"/>
            </w:tcMar>
          </w:tcPr>
          <w:p>
            <w:pPr>
              <w:jc w:val="left"/>
            </w:pPr>
            <w:r>
              <w:rPr>
                <w:b w:val="false"/>
                <w:bCs w:val="false"/>
                <w:color w:val="000000"/>
                <w:sz w:val="20"/>
                <w:szCs w:val="20"/>
              </w:rPr>
              <w:t xml:space="preserve">18+ years</w:t>
            </w:r>
          </w:p>
        </w:tc>
        <w:tc>
          <w:tcPr>
            <w:tcW w:type="dxa" w:w="3300"/>
            <w:tcMar>
              <w:top w:type="dxa" w:w="80"/>
              <w:left w:type="dxa" w:w="100"/>
              <w:bottom w:type="dxa" w:w="80"/>
              <w:right w:type="dxa" w:w="100"/>
            </w:tcMar>
          </w:tcPr>
          <w:p>
            <w:pPr>
              <w:jc w:val="left"/>
            </w:pPr>
            <w:r>
              <w:rPr>
                <w:b w:val="false"/>
                <w:bCs w:val="false"/>
                <w:color w:val="000000"/>
                <w:sz w:val="20"/>
                <w:szCs w:val="20"/>
              </w:rPr>
              <w:t xml:space="preserve">₹799</w:t>
            </w:r>
          </w:p>
        </w:tc>
        <w:tc>
          <w:tcPr>
            <w:tcW w:type="dxa" w:w="2200"/>
            <w:tcMar>
              <w:top w:type="dxa" w:w="80"/>
              <w:left w:type="dxa" w:w="100"/>
              <w:bottom w:type="dxa" w:w="80"/>
              <w:right w:type="dxa" w:w="100"/>
            </w:tcMar>
          </w:tcPr>
          <w:p>
            <w:pPr>
              <w:jc w:val="left"/>
            </w:pPr>
            <w:r>
              <w:rPr>
                <w:b w:val="false"/>
                <w:bCs w:val="false"/>
                <w:color w:val="000000"/>
                <w:sz w:val="20"/>
                <w:szCs w:val="20"/>
              </w:rPr>
              <w:t xml:space="preserve">Water colours, acrylic, charcoal, oil, mixed media</w:t>
            </w:r>
          </w:p>
        </w:tc>
      </w:tr>
      <w:tr>
        <w:tc>
          <w:tcPr>
            <w:tcW w:type="dxa" w:w="2200"/>
            <w:shd w:fill="F2F2F2" w:val="clear"/>
            <w:tcMar>
              <w:top w:type="dxa" w:w="80"/>
              <w:left w:type="dxa" w:w="100"/>
              <w:bottom w:type="dxa" w:w="80"/>
              <w:right w:type="dxa" w:w="100"/>
            </w:tcMar>
          </w:tcPr>
          <w:p>
            <w:pPr>
              <w:jc w:val="left"/>
            </w:pPr>
            <w:r>
              <w:rPr>
                <w:b w:val="false"/>
                <w:bCs w:val="false"/>
                <w:color w:val="000000"/>
                <w:sz w:val="20"/>
                <w:szCs w:val="20"/>
              </w:rPr>
              <w:t xml:space="preserve">Participation only</w:t>
            </w:r>
          </w:p>
        </w:tc>
        <w:tc>
          <w:tcPr>
            <w:tcW w:type="dxa" w:w="2200"/>
            <w:shd w:fill="F2F2F2" w:val="clear"/>
            <w:tcMar>
              <w:top w:type="dxa" w:w="80"/>
              <w:left w:type="dxa" w:w="100"/>
              <w:bottom w:type="dxa" w:w="80"/>
              <w:right w:type="dxa" w:w="100"/>
            </w:tcMar>
          </w:tcPr>
          <w:p>
            <w:pPr>
              <w:jc w:val="left"/>
            </w:pPr>
            <w:r>
              <w:rPr>
                <w:b w:val="false"/>
                <w:bCs w:val="false"/>
                <w:color w:val="000000"/>
                <w:sz w:val="20"/>
                <w:szCs w:val="20"/>
              </w:rPr>
              <w:t xml:space="preserve">Any age</w:t>
            </w:r>
          </w:p>
        </w:tc>
        <w:tc>
          <w:tcPr>
            <w:tcW w:type="dxa" w:w="3300"/>
            <w:shd w:fill="F2F2F2" w:val="clear"/>
            <w:tcMar>
              <w:top w:type="dxa" w:w="80"/>
              <w:left w:type="dxa" w:w="100"/>
              <w:bottom w:type="dxa" w:w="80"/>
              <w:right w:type="dxa" w:w="100"/>
            </w:tcMar>
          </w:tcPr>
          <w:p>
            <w:pPr>
              <w:jc w:val="left"/>
            </w:pPr>
            <w:r>
              <w:rPr>
                <w:b w:val="false"/>
                <w:bCs w:val="false"/>
                <w:color w:val="000000"/>
                <w:sz w:val="20"/>
                <w:szCs w:val="20"/>
              </w:rPr>
              <w:t xml:space="preserve">₹99 for 1 entry, ₹198 for 2, ₹297 for 3, and so on</w:t>
            </w:r>
          </w:p>
        </w:tc>
        <w:tc>
          <w:tcPr>
            <w:tcW w:type="dxa" w:w="2200"/>
            <w:shd w:fill="F2F2F2" w:val="clear"/>
            <w:tcMar>
              <w:top w:type="dxa" w:w="80"/>
              <w:left w:type="dxa" w:w="100"/>
              <w:bottom w:type="dxa" w:w="80"/>
              <w:right w:type="dxa" w:w="100"/>
            </w:tcMar>
          </w:tcPr>
          <w:p>
            <w:pPr>
              <w:jc w:val="left"/>
            </w:pPr>
            <w:r>
              <w:rPr>
                <w:b w:val="false"/>
                <w:bCs w:val="false"/>
                <w:color w:val="000000"/>
                <w:sz w:val="20"/>
                <w:szCs w:val="20"/>
              </w:rPr>
              <w:t xml:space="preserve">Any medium</w:t>
            </w:r>
          </w:p>
        </w:tc>
      </w:tr>
    </w:tbl>
    <w:p>
      <w:pPr>
        <w:spacing w:after="120"/>
      </w:pPr>
      <w:r>
        <w:t xml:space="preserve">All payments are collected by UPI only.</w:t>
      </w:r>
    </w:p>
    <w:p>
      <w:pPr>
        <w:pStyle w:val="Heading1"/>
        <w:spacing w:after="160" w:before="320"/>
      </w:pPr>
      <w:r>
        <w:t xml:space="preserve">6. Decisions Still Needed From You</w:t>
      </w:r>
    </w:p>
    <w:p>
      <w:pPr>
        <w:pStyle w:val="ListParagraph"/>
        <w:numPr>
          <w:ilvl w:val="0"/>
          <w:numId w:val="2"/>
        </w:numPr>
        <w:spacing w:after="60"/>
      </w:pPr>
      <w:r>
        <w:t xml:space="preserve">For age-category checks: if a participant turns, say, 11 partway through the registration window, which category should they be placed in — the one at the time they registered, or the one matching their age on the final day?</w:t>
      </w:r>
    </w:p>
    <w:p>
      <w:pPr>
        <w:pStyle w:val="ListParagraph"/>
        <w:numPr>
          <w:ilvl w:val="0"/>
          <w:numId w:val="2"/>
        </w:numPr>
        <w:spacing w:after="60"/>
      </w:pPr>
      <w:r>
        <w:t xml:space="preserve">Is there a cap on how many paintings a Participation-only entrant can submit, or is it open-ended?</w:t>
      </w:r>
    </w:p>
    <w:p>
      <w:pPr>
        <w:pStyle w:val="ListParagraph"/>
        <w:numPr>
          <w:ilvl w:val="0"/>
          <w:numId w:val="2"/>
        </w:numPr>
        <w:spacing w:after="60"/>
      </w:pPr>
      <w:r>
        <w:t xml:space="preserve">What minimum photo/painting quality (resolution) is needed for I-Card and poster printing? Worth confirming with whoever is producing those.</w:t>
      </w:r>
    </w:p>
    <w:p>
      <w:pPr>
        <w:pStyle w:val="ListParagraph"/>
        <w:numPr>
          <w:ilvl w:val="0"/>
          <w:numId w:val="2"/>
        </w:numPr>
        <w:spacing w:after="60"/>
      </w:pPr>
      <w:r>
        <w:t xml:space="preserve">Should there be any written criteria for what counts as a "genuine case" for a refund exception, or should it stay entirely case-by-case at the organizers' discretion with no written rule?</w:t>
      </w:r>
    </w:p>
    <w:p>
      <w:pPr>
        <w:pStyle w:val="ListParagraph"/>
        <w:numPr>
          <w:ilvl w:val="0"/>
          <w:numId w:val="2"/>
        </w:numPr>
        <w:spacing w:after="60"/>
      </w:pPr>
      <w:r>
        <w:t xml:space="preserve">Is there a name for this platform yet, for branding on the sign-up pages and I-Cards? None was specified so far.</w:t>
      </w:r>
    </w:p>
    <w:p>
      <w:pPr>
        <w:spacing w:after="160"/>
      </w:pPr>
      <w:r>
        <w:rPr>
          <w:i/>
          <w:iCs/>
          <w:color w:val="555555"/>
        </w:rPr>
        <w:t xml:space="preserve">A separate, more detailed implementation document has been prepared for the technical build — this document is for your review of the plan itself.</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2026-09-14T14:22:55.855Z</dcterms:created>
  <dcterms:modified xsi:type="dcterms:W3CDTF">2026-09-14T14:22:55.871Z</dcterms:modified>
</cp:coreProperties>
</file>

<file path=docProps/custom.xml><?xml version="1.0" encoding="utf-8"?>
<Properties xmlns="http://schemas.openxmlformats.org/officeDocument/2006/custom-properties" xmlns:vt="http://schemas.openxmlformats.org/officeDocument/2006/docPropsVTypes"/>
</file>