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맑은 고딕"/>
          <w:rFonts w:ascii="맑은 고딕" w:hAnsi="맑은 고딕"/>
          <w:b/>
          <w:sz w:val="44"/>
        </w:rPr>
        <w:t>민상수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2"/>
        </w:rPr>
        <w:t>IT 기획 · 사업관리 · PM/PMO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0"/>
        </w:rPr>
        <w:t>010-6470-5424 | minss3@naver.com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4"/>
        </w:rPr>
        <w:t>EXECUTIVE SUMMARY</w:t>
      </w:r>
    </w:p>
    <w:p>
      <w:pPr>
        <w:spacing w:before="20" w:after="20"/>
      </w:pPr>
      <w:r>
        <w:rPr>
          <w:rFonts w:eastAsia="맑은 고딕"/>
          <w:rFonts w:ascii="맑은 고딕" w:hAnsi="맑은 고딕"/>
          <w:b w:val="0"/>
          <w:sz w:val="19"/>
        </w:rPr>
        <w:t>연 180억원 규모, 12개 계열사·70여 개 공급사의 IT 운영계약을 기획부터 협상·관리까지 담당한 IT 사업관리·PM 전문가.</w:t>
      </w:r>
    </w:p>
    <w:p>
      <w:pPr>
        <w:spacing w:before="20" w:after="20"/>
      </w:pPr>
      <w:r>
        <w:rPr>
          <w:rFonts w:eastAsia="맑은 고딕"/>
          <w:rFonts w:ascii="맑은 고딕" w:hAnsi="맑은 고딕"/>
          <w:b w:val="0"/>
          <w:sz w:val="19"/>
        </w:rPr>
        <w:t>MS EA(연 25억원, 약 5,000명) 등 그룹 엔터프라이즈 라이선스 전략을 수립하고, E3/E5/F3 다층 티어 구조를 설계하여 비용 구조를 재편.</w:t>
      </w:r>
    </w:p>
    <w:p>
      <w:pPr>
        <w:spacing w:before="20" w:after="20"/>
      </w:pPr>
      <w:r>
        <w:rPr>
          <w:rFonts w:eastAsia="맑은 고딕"/>
          <w:rFonts w:ascii="맑은 고딕" w:hAnsi="맑은 고딕"/>
          <w:b w:val="0"/>
          <w:sz w:val="19"/>
        </w:rPr>
        <w:t>계약 리스크 설계·M/M 기반 원가 분석·이해관계자 조율을 일괄 수행하며, 현재 다수의 그룹 시스템 구축 및 도입 프로젝트에서 PM/PMO를 담당.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color w:val="1F497D"/>
          <w:sz w:val="19"/>
        </w:rPr>
        <w:t>총 경력 10년 5개월 | IT 기획·사업관리 4년 2개월 | 현 소속: 디에이인포메이션 (동아에스티 DT팀 상주, 2025.12~)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4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규모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총 경력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10년+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IT 사업관리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4년+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IT 운영계약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 180억원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Microsoft EA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 25억원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라이선스 대상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약 5,000명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공급사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70개사+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계열사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12개사</w:t>
            </w:r>
          </w:p>
        </w:tc>
      </w:tr>
      <w:tr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운영 시스템</w:t>
            </w:r>
          </w:p>
        </w:tc>
        <w:tc>
          <w:tcPr>
            <w:tcW w:type="dxa" w:w="468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215개</w:t>
            </w:r>
          </w:p>
        </w:tc>
      </w:tr>
    </w:tbl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4"/>
        </w:rPr>
        <w:t>CORE EXPERTISE</w:t>
      </w:r>
    </w:p>
    <w:p>
      <w:pPr>
        <w:spacing w:before="20" w:after="20"/>
      </w:pPr>
      <w:r>
        <w:rPr>
          <w:rFonts w:eastAsia="맑은 고딕"/>
          <w:rFonts w:ascii="맑은 고딕" w:hAnsi="맑은 고딕"/>
          <w:b w:val="0"/>
          <w:sz w:val="19"/>
        </w:rPr>
        <w:t>IT 사업관리 / IT PMO / Project Management / Vendor Management / Contract Management / IT Governance / Enterprise License Management / IT Cost Management / Requirement Analysis / Stakeholder Management / IT Operation Management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4"/>
        </w:rPr>
        <w:t>CAREER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회사</w:t>
            </w:r>
          </w:p>
        </w:tc>
        <w:tc>
          <w:tcPr>
            <w:tcW w:type="dxa" w:w="312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312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직책 / 직무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디에이인포메이션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2022.05 ~ 현재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사업기획팀 / IT 기획·사업관리</w:t>
              <w:br/>
              <w:t>(2025.12~ 동아에스티 DT팀 상주)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동성제약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2016.02 ~ 2022.05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영업관리부 주임 / Inside Sales · 영업기획</w:t>
            </w:r>
          </w:p>
        </w:tc>
      </w:tr>
    </w:tbl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4"/>
        </w:rPr>
        <w:t>MAJOR ACHIEVEMENTS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성과</w:t>
            </w:r>
          </w:p>
        </w:tc>
        <w:tc>
          <w:tcPr>
            <w:tcW w:type="dxa" w:w="3120"/>
            <w:shd w:fill="1F497D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규모 / 수치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①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그룹 IT 운영계약 통합관리 체계 구축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 180억원, 12개 계열사, 70개사, 100M/M+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②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Microsoft EA 라이선스 전략 수립 및 계약 담당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 25억원, 약 5,000명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③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215개 시스템 기반 인력배정 체계 전환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전수조사 후 2026 전 그룹사 적용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④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한컴·Adobe·백신 Markup 마진율 인상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5% → 10% (2026 갱신 적용)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⑤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법무관리시스템 PM — 범위 재설계로 견적 절감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약 -1,800만원</w:t>
            </w:r>
          </w:p>
        </w:tc>
      </w:tr>
      <w:tr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⑥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바이오플러스 ITO 제안 — FDA 컴플라이언스 관점 재설계</w:t>
            </w:r>
          </w:p>
        </w:tc>
        <w:tc>
          <w:tcPr>
            <w:tcW w:type="dxa" w:w="3120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기회영역 3개 도출</w:t>
            </w:r>
          </w:p>
        </w:tc>
      </w:tr>
    </w:tbl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4"/>
        </w:rPr>
        <w:t>PROJECT EXPERIENCE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[P1] 그룹 IT 운영계약 거버넌스 관리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2022 ~ 현재 (2026 전 그룹사 개편 완료)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사업관리 담당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그룹 IT 운영 안정화 및 계약·인력배정 체계 표준화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12개 계열사·70개사 대상 연 180억원·100M/M 이상 IT 운영·SW 계약 통합관리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그룹 IT 비용 현황 추적 및 통합계약 기초자료 작성·배포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직무·등급별 단가체계 설계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M/M 기반 원가·수익성 분석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12개 그룹사 제안 및 계약 협상 (Vendor Management)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주요 수행내용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인원수 기반 → 215개 시스템 등급 기준 인력배정 체계로 전환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계열사별 M/M 기반 손익 대시보드 운영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ITIL V4 기반 팀별 공수 배분 체계 설계 (2027년 전면 적용 예정)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산정 불투명성·장애 추적 불가 문제 해소를 위해 인력배정 기준을 시스템 등급 기반으로 전환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성과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2026년 전 그룹사 계약 개편 완료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계열사 중복 계약 통합 → 제안·검토 리소스 절감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계열사별 IT 예산 추이 근거 마련 (경영진 의사결정 지원)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산출물: </w:t>
      </w:r>
      <w:r>
        <w:rPr>
          <w:rFonts w:eastAsia="맑은 고딕"/>
          <w:rFonts w:ascii="맑은 고딕" w:hAnsi="맑은 고딕"/>
          <w:b w:val="0"/>
          <w:sz w:val="19"/>
        </w:rPr>
        <w:t>운영 유지보수 기초자료 / 직무·등급별 단가체계 / M/M 손익 대시보드 / 시스템 인벤토리(215개)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2026 개편 완료 / 2027 ITIL 기반 공수체계 전면 적용 예정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[P2] Microsoft EA 라이선스 전략 수립 및 계약 관리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2022 ~ 현재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그룹 EA 계약 담당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그룹 Microsoft 라이선스 전략 수립 및 비용 최적화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12개 계열사·약 5,000명 대상 연 25억원 Microsoft EA 계약 및 M365 라이선싱 전략 수립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EA 갱신 제안서 작성 및 계약 협상 (License Management)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E3/E5/F3 다층 티어 구조 설계 (2027 M365 Workplace 전환 연계)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라이선스 재배분 및 컴플라이언스 감사 대응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단일 티어 관행 탈피 → 부서별 실사용 기능 분석 기반 E3/E5/F3 3단계 구조로 비용 최적화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성과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연간 EA 계약 갱신 (12개 계열사 통합 대응)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약 5,000명 규모 라이선스 운영체계 관리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E3/E5/F3 라이선스 최적화 전략 수립 (2027 Workplace 전환 로드맵 연계)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산출물: </w:t>
      </w:r>
      <w:r>
        <w:rPr>
          <w:rFonts w:eastAsia="맑은 고딕"/>
          <w:rFonts w:ascii="맑은 고딕" w:hAnsi="맑은 고딕"/>
          <w:b w:val="0"/>
          <w:sz w:val="19"/>
        </w:rPr>
        <w:t>EA 갱신 제안서(연간) / M365 E3·E5·F3 티어 구조 설계안 / 계열사별 라이선스 배분표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연간 갱신 계속 / 2027 M365 Workplace 전환 전략 수립 중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[P3] 그룹 통합 라이선스 갱신 및 마진 구조 개선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2022 ~ 현재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그룹 라이선스 계약 담당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그룹 라이선스 갱신 및 수익 구조 개선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12개 계열사 한컴 ILA·Adobe·백신 3종 통합 갱신 계약 담당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3종 라이선스 갱신 제안서 작성 및 벤더 협상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운영조정 업무 정량화를 통한 Markup 인상 근거 설계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재배분·컴플라이언스 대응 등 실질 운영가치를 문서화하여 결재권자 설득 → Markup 인상 관철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성과: </w:t>
      </w:r>
      <w:r>
        <w:rPr>
          <w:rFonts w:eastAsia="맑은 고딕"/>
          <w:rFonts w:ascii="맑은 고딕" w:hAnsi="맑은 고딕"/>
          <w:b w:val="0"/>
          <w:sz w:val="19"/>
        </w:rPr>
        <w:t>Markup 마진율 5% → 10% 인상 (2026년 갱신 계약 적용)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산출물: </w:t>
      </w:r>
      <w:r>
        <w:rPr>
          <w:rFonts w:eastAsia="맑은 고딕"/>
          <w:rFonts w:ascii="맑은 고딕" w:hAnsi="맑은 고딕"/>
          <w:b w:val="0"/>
          <w:sz w:val="19"/>
        </w:rPr>
        <w:t>라이선스 갱신 제안서 / 원가 분석자료 / Markup 검토자료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연간 갱신 계속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[P4] eSCM 2차 고도화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2026.06 ~ 2026.12 (진행 중)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PMO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SCM 운영 가시성 강화를 위한 One Screen Dashboard 구현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SAP·WMS·구매·영업지원시스템 연동 기반 BI매트릭스 플랫폼 대시보드 구축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계약서 작성 및 리스크 조항 설계 (Contract Management)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외주 공수 산정 검증 및 일정 조율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연계 시스템 인터페이스 요건 정의 참여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지체상금 '완료' 시점을 착수 후 양자 협의 대상으로 설정 → 발주자 귀책 리스크 사전 차단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성과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계약서 작성 완료 (리스크 조항 포함)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프로젝트 정상 착수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연동 요건 정의 참여 완료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산출물: </w:t>
      </w:r>
      <w:r>
        <w:rPr>
          <w:rFonts w:eastAsia="맑은 고딕"/>
          <w:rFonts w:ascii="맑은 고딕" w:hAnsi="맑은 고딕"/>
          <w:b w:val="0"/>
          <w:sz w:val="19"/>
        </w:rPr>
        <w:t>계약서(리스크 조항 포함) / 사업추진 기안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진행 중 (2026.12 종료 예정)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[P5] 법무관리시스템(Law.ai) 도입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2026 ~ (진행 중)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PM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그룹사 법무 전용 시스템 신규 도입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SaaS 기반 Law.ai 도입 — 전임 PM 인수 후 범위·연동 요건 재설계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사업 범위 재설계 (마이그레이션 제외, 최소 연동 원칙 수립)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SSO·ECM·MIP 복호화·전자서명 연동 요건 확정 (Requirement Analysis)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법무팀·벤더·내부 개발조직 간 3자 조율 (Stakeholder Management)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전자서명 도입 리스크 분석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마이그레이션 제외·최소 연동 원칙 적용으로 견적 약 1,800만원 절감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성과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연동 4개 항목 확정 (SSO·ECM·MIP 복호화·전자서명)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견적 약 -1,800만원 절감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산출물: </w:t>
      </w:r>
      <w:r>
        <w:rPr>
          <w:rFonts w:eastAsia="맑은 고딕"/>
          <w:rFonts w:ascii="맑은 고딕" w:hAnsi="맑은 고딕"/>
          <w:b w:val="0"/>
          <w:sz w:val="19"/>
        </w:rPr>
        <w:t>연동 요건 정의서 / 범위 확정 문서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사용 솔루션: </w:t>
      </w:r>
      <w:r>
        <w:rPr>
          <w:rFonts w:eastAsia="맑은 고딕"/>
          <w:rFonts w:ascii="맑은 고딕" w:hAnsi="맑은 고딕"/>
          <w:b w:val="0"/>
          <w:sz w:val="19"/>
        </w:rPr>
        <w:t>Microsoft Entra ID(SSO) · ECM · MIP 복호화 모듈 · 전자서명(모두사인)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재견적 진행 중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[P6] SSS 영업지원시스템 개선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2026.06 ~ (9월 1차 적용 목표)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수요관리 PM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노후 영업지원시스템 연내 필수 개선 구축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89건 개선요청 구조화 및 우선순위 선정, 9월 1차 적용 범위·일정 조율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89건 개선요청 → 연내 적용 16건 / 이연 73건 분류 (Requirement Analysis)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현업 요구사항 ↔ 개발 기술 요건 매핑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영업본부·현업·기술팀 3자 조율 (Stakeholder Management)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비즈니스 임팩트·개발 공수 교차 분석으로 1차 적용 우선순위 16건 확정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성과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개선요청 89건 구조화 완료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연내 적용 16건 / 이연 73건 분류 확정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현업·개발팀 간 요건 정의 및 일정 수립 지원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요건정의 진행 중 (9월 1차 적용 목표)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[P7] 전자인장 시스템 도입 검토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2026 ~ (진행 중)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도입 검토 담당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전자인장 시스템 도입 타당성 분석 및 의사결정 지원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동아제약 기 구축 서버 공용 활용 검토 및 비용 모델 비교분석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일괄결제 vs 60개월 분할결제 비용 모델 비교분석 (IT Cost Management)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동아제약 서버 공용 활용 협의 → 신규 인프라 비용 제외 방향 조율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전자서명·전자인장 법적·기술적 차이 정리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기 구축 서버 공용 활용으로 신규 인프라 구매 비용 절감 방향 확정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성과: </w:t>
      </w:r>
      <w:r>
        <w:rPr>
          <w:rFonts w:eastAsia="맑은 고딕"/>
          <w:rFonts w:ascii="맑은 고딕" w:hAnsi="맑은 고딕"/>
          <w:b w:val="0"/>
          <w:sz w:val="19"/>
        </w:rPr>
        <w:t>신규 인프라 구매 비용 제외 방향 확정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산출물: </w:t>
      </w:r>
      <w:r>
        <w:rPr>
          <w:rFonts w:eastAsia="맑은 고딕"/>
          <w:rFonts w:ascii="맑은 고딕" w:hAnsi="맑은 고딕"/>
          <w:b w:val="0"/>
          <w:sz w:val="19"/>
        </w:rPr>
        <w:t>비용 모델 비교분석 자료 / 서버 공용 활용 검토 자료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검토 중 (도입 여부 미확정)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[P8] 바이오플러스 ITO 제안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기간: </w:t>
      </w:r>
      <w:r>
        <w:rPr>
          <w:rFonts w:eastAsia="맑은 고딕"/>
          <w:rFonts w:ascii="맑은 고딕" w:hAnsi="맑은 고딕"/>
          <w:b w:val="0"/>
          <w:sz w:val="19"/>
        </w:rPr>
        <w:t>2025.12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역할: </w:t>
      </w:r>
      <w:r>
        <w:rPr>
          <w:rFonts w:eastAsia="맑은 고딕"/>
          <w:rFonts w:ascii="맑은 고딕" w:hAnsi="맑은 고딕"/>
          <w:b w:val="0"/>
          <w:sz w:val="19"/>
        </w:rPr>
        <w:t>제안 담당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목적: </w:t>
      </w:r>
      <w:r>
        <w:rPr>
          <w:rFonts w:eastAsia="맑은 고딕"/>
          <w:rFonts w:ascii="맑은 고딕" w:hAnsi="맑은 고딕"/>
          <w:b w:val="0"/>
          <w:sz w:val="19"/>
        </w:rPr>
        <w:t>IT 전담 인력 부재 바이오 고객사 대상 ITO 제안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개요: </w:t>
      </w:r>
      <w:r>
        <w:rPr>
          <w:rFonts w:eastAsia="맑은 고딕"/>
          <w:rFonts w:ascii="맑은 고딕" w:hAnsi="맑은 고딕"/>
          <w:b w:val="0"/>
          <w:sz w:val="19"/>
        </w:rPr>
        <w:t>RFP 분석부터 제안서 작성까지 담당, FDA 컴플라이언스 관점으로 제안 프레임 재설계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>담당업무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RFP 분석 및 기술·비용 제안서 작성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현장 방문(2025.12.10)을 통해 DI컨설팅·ERP교체·ITO서비스 3개 기회영역 도출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핵심 의사결정: </w:t>
      </w:r>
      <w:r>
        <w:rPr>
          <w:rFonts w:eastAsia="맑은 고딕"/>
          <w:rFonts w:ascii="맑은 고딕" w:hAnsi="맑은 고딕"/>
          <w:b w:val="0"/>
          <w:sz w:val="19"/>
        </w:rPr>
        <w:t>FDA 컴플라이언스 리스크 완화 관점으로 제안 프레임 전환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sz w:val="19"/>
        </w:rPr>
        <w:t xml:space="preserve">성과: </w:t>
      </w:r>
      <w:r>
        <w:rPr>
          <w:rFonts w:eastAsia="맑은 고딕"/>
          <w:rFonts w:ascii="맑은 고딕" w:hAnsi="맑은 고딕"/>
          <w:b w:val="0"/>
          <w:sz w:val="19"/>
        </w:rPr>
        <w:t>기회영역 3개(DI컨설팅·ERP교체·ITO서비스) 도출 및 제안서 제출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산출물: </w:t>
      </w:r>
      <w:r>
        <w:rPr>
          <w:rFonts w:eastAsia="맑은 고딕"/>
          <w:rFonts w:ascii="맑은 고딕" w:hAnsi="맑은 고딕"/>
          <w:b w:val="0"/>
          <w:sz w:val="19"/>
        </w:rPr>
        <w:t>기술·비용 제안서 / IT 제언서</w:t>
      </w:r>
    </w:p>
    <w:p>
      <w:pPr>
        <w:spacing w:before="20" w:after="20"/>
      </w:pPr>
      <w:r>
        <w:rPr>
          <w:rFonts w:eastAsia="맑은 고딕"/>
          <w:rFonts w:ascii="맑은 고딕" w:hAnsi="맑은 고딕"/>
          <w:b/>
          <w:sz w:val="19"/>
        </w:rPr>
        <w:t xml:space="preserve">현재 상태: </w:t>
      </w:r>
      <w:r>
        <w:rPr>
          <w:rFonts w:eastAsia="맑은 고딕"/>
          <w:rFonts w:ascii="맑은 고딕" w:hAnsi="맑은 고딕"/>
          <w:b w:val="0"/>
          <w:sz w:val="19"/>
        </w:rPr>
        <w:t>고객사 내부 IT 조직 구성 후 재협의 예정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4"/>
        </w:rPr>
        <w:t>OTHER EXPERIENCE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IT 서비스 관리 체계 설계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ITIL V4 기준 6개 서비스 영역·37개 항목 실무 매핑 수행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그룹 계열사 매출 기반 IT 비용 배분 모델 설계 (2027년 적용 시뮬레이션)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AI 기반 사업관리 업무 효율화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계약서·회의록·보고서·제안서 등 반복 문서 작성 자동화 적용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문서 처리 파이프라인 구축으로 사업관리 업무 효율화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000000"/>
          <w:sz w:val="20"/>
        </w:rPr>
        <w:t>동성제약 — 영업관리부 주임 (2016.02 ~ 2022.05)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ETC/OTC Inside Sales 담당, 실적 관리 및 인센티브 정책 기획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병원사업부 연계 신규 매출 구조 제안 → 약 17억원 매출 기여</w:t>
      </w:r>
    </w:p>
    <w:p>
      <w:pPr>
        <w:pStyle w:val="ListBullet"/>
        <w:spacing w:before="20" w:after="20"/>
        <w:ind w:left="432"/>
      </w:pPr>
      <w:r>
        <w:rPr>
          <w:rFonts w:eastAsia="맑은 고딕"/>
          <w:rFonts w:ascii="맑은 고딕" w:hAnsi="맑은 고딕"/>
          <w:b w:val="0"/>
          <w:sz w:val="19"/>
        </w:rPr>
        <w:t>DSP Mall 구축 TF(2021.10~2022.01) — ERP 기반 주문·결제 데이터 연동 로직 현업 설계 참여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