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4B0" w14:textId="18229A66" w:rsidR="009303D9" w:rsidRDefault="00C801AC" w:rsidP="00C801AC">
      <w:pPr>
        <w:pStyle w:val="papertitle"/>
      </w:pPr>
      <w:r>
        <w:t>Backbone Estimation for Shape-Identifiable Candidate Flexibility from Aggregate Load Profiles</w:t>
      </w:r>
    </w:p>
    <w:p w14:paraId="6D735D00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1A3B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484"/>
        <w:gridCol w:w="3485"/>
        <w:gridCol w:w="3485"/>
      </w:tblGrid>
      <w:tr w:rsidR="00E77A5A" w14:paraId="1181EED0" w14:textId="77777777" w:rsidTr="00E77A5A">
        <w:tc>
          <w:tcPr>
            <w:tcW w:w="1666" w:type="pct"/>
          </w:tcPr>
          <w:p w14:paraId="0590F12B" w14:textId="40B361C7" w:rsidR="00E77A5A" w:rsidRPr="00E77A5A" w:rsidRDefault="00E77A5A" w:rsidP="00E77A5A">
            <w:pPr>
              <w:pStyle w:val="Author"/>
              <w:rPr>
                <w:sz w:val="20"/>
              </w:rPr>
            </w:pPr>
            <w:r w:rsidRPr="00E77A5A">
              <w:rPr>
                <w:sz w:val="20"/>
              </w:rPr>
              <w:t>M. Syahman Samhan</w:t>
            </w:r>
            <w:r w:rsidRPr="00E77A5A">
              <w:rPr>
                <w:sz w:val="20"/>
              </w:rPr>
              <w:br/>
              <w:t>School of Photovoltaic and Renewable</w:t>
            </w:r>
            <w:r w:rsidRPr="00E77A5A">
              <w:rPr>
                <w:sz w:val="20"/>
              </w:rPr>
              <w:br/>
              <w:t>Energy Engineering</w:t>
            </w:r>
            <w:r w:rsidRPr="00E77A5A">
              <w:rPr>
                <w:sz w:val="20"/>
              </w:rPr>
              <w:br/>
              <w:t>University of New South Wales</w:t>
            </w:r>
            <w:r w:rsidRPr="00E77A5A">
              <w:rPr>
                <w:sz w:val="20"/>
              </w:rPr>
              <w:br/>
              <w:t>Sydney, Australia</w:t>
            </w:r>
            <w:r w:rsidRPr="00E77A5A">
              <w:rPr>
                <w:sz w:val="20"/>
              </w:rPr>
              <w:br/>
              <w:t>m.samhan@unsw.edu.au</w:t>
            </w:r>
          </w:p>
        </w:tc>
        <w:tc>
          <w:tcPr>
            <w:tcW w:w="1667" w:type="pct"/>
          </w:tcPr>
          <w:p w14:paraId="2480A79C" w14:textId="3CBADC52" w:rsidR="00E77A5A" w:rsidRPr="00E77A5A" w:rsidRDefault="00E77A5A" w:rsidP="00E77A5A">
            <w:pPr>
              <w:pStyle w:val="Author"/>
              <w:rPr>
                <w:sz w:val="20"/>
              </w:rPr>
            </w:pPr>
            <w:r w:rsidRPr="00E77A5A">
              <w:rPr>
                <w:sz w:val="20"/>
              </w:rPr>
              <w:t>Navid Haghdadi</w:t>
            </w:r>
            <w:r w:rsidRPr="00E77A5A">
              <w:rPr>
                <w:sz w:val="20"/>
              </w:rPr>
              <w:br/>
              <w:t>Demand Forecasting, Network Strategy</w:t>
            </w:r>
            <w:r w:rsidRPr="00E77A5A">
              <w:rPr>
                <w:sz w:val="20"/>
              </w:rPr>
              <w:br/>
              <w:t>and Future Grid</w:t>
            </w:r>
            <w:r w:rsidRPr="00E77A5A">
              <w:rPr>
                <w:sz w:val="20"/>
              </w:rPr>
              <w:br/>
              <w:t>Ausgrid</w:t>
            </w:r>
            <w:r w:rsidRPr="00E77A5A">
              <w:rPr>
                <w:sz w:val="20"/>
              </w:rPr>
              <w:br/>
              <w:t>Sydney, Australia</w:t>
            </w:r>
          </w:p>
        </w:tc>
        <w:tc>
          <w:tcPr>
            <w:tcW w:w="1667" w:type="pct"/>
          </w:tcPr>
          <w:p w14:paraId="76AACCDB" w14:textId="67A30523" w:rsidR="00E77A5A" w:rsidRPr="00E77A5A" w:rsidRDefault="00E77A5A" w:rsidP="00E77A5A">
            <w:pPr>
              <w:pStyle w:val="Author"/>
              <w:rPr>
                <w:sz w:val="20"/>
              </w:rPr>
            </w:pPr>
            <w:r w:rsidRPr="00E77A5A">
              <w:rPr>
                <w:sz w:val="20"/>
              </w:rPr>
              <w:t>Daniel Sim</w:t>
            </w:r>
            <w:r w:rsidRPr="00E77A5A">
              <w:rPr>
                <w:sz w:val="20"/>
              </w:rPr>
              <w:br/>
              <w:t>Demand Forecasting, Network Strategy</w:t>
            </w:r>
            <w:r w:rsidRPr="00E77A5A">
              <w:rPr>
                <w:sz w:val="20"/>
              </w:rPr>
              <w:br/>
              <w:t>and Future Grid</w:t>
            </w:r>
            <w:r w:rsidRPr="00E77A5A">
              <w:rPr>
                <w:sz w:val="20"/>
              </w:rPr>
              <w:br/>
              <w:t>Ausgrid</w:t>
            </w:r>
            <w:r w:rsidRPr="00E77A5A">
              <w:rPr>
                <w:sz w:val="20"/>
              </w:rPr>
              <w:br/>
              <w:t>Sydney, Australia</w:t>
            </w:r>
          </w:p>
        </w:tc>
      </w:tr>
    </w:tbl>
    <w:p w14:paraId="7DC3BD49" w14:textId="69F0DD0F" w:rsidR="001A3B3D" w:rsidRPr="006347CF" w:rsidRDefault="001A3B3D" w:rsidP="00D660D0">
      <w:pPr>
        <w:pStyle w:val="Author"/>
        <w:spacing w:before="100" w:beforeAutospacing="1"/>
        <w:jc w:val="both"/>
        <w:rPr>
          <w:sz w:val="18"/>
          <w:szCs w:val="18"/>
        </w:rPr>
        <w:sectPr w:rsidR="001A3B3D" w:rsidRPr="006347CF" w:rsidSect="00E77A5A">
          <w:type w:val="continuous"/>
          <w:pgSz w:w="12240" w:h="15840" w:code="1"/>
          <w:pgMar w:top="1080" w:right="893" w:bottom="1440" w:left="893" w:header="720" w:footer="720" w:gutter="0"/>
          <w:cols w:space="216"/>
          <w:docGrid w:linePitch="360"/>
        </w:sectPr>
      </w:pPr>
    </w:p>
    <w:p w14:paraId="44292629" w14:textId="77777777" w:rsidR="009303D9" w:rsidRPr="005B520E" w:rsidRDefault="009303D9">
      <w:pPr>
        <w:sectPr w:rsidR="009303D9" w:rsidRPr="005B520E">
          <w:type w:val="continuous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227"/>
        <w:gridCol w:w="5227"/>
      </w:tblGrid>
      <w:tr w:rsidR="00E77A5A" w14:paraId="36907BE3" w14:textId="77777777" w:rsidTr="00E77A5A">
        <w:tc>
          <w:tcPr>
            <w:tcW w:w="2500" w:type="pct"/>
          </w:tcPr>
          <w:p w14:paraId="3FB16ABF" w14:textId="5FED86EF" w:rsidR="00E77A5A" w:rsidRPr="00E77A5A" w:rsidRDefault="00E77A5A" w:rsidP="00E77A5A">
            <w:pPr>
              <w:pStyle w:val="Author"/>
              <w:rPr>
                <w:sz w:val="20"/>
              </w:rPr>
            </w:pPr>
            <w:r w:rsidRPr="00E77A5A">
              <w:rPr>
                <w:sz w:val="20"/>
              </w:rPr>
              <w:t>Anna Bruce</w:t>
            </w:r>
            <w:r w:rsidRPr="00E77A5A">
              <w:rPr>
                <w:sz w:val="20"/>
              </w:rPr>
              <w:br/>
              <w:t>School of Photovoltaic and Renewable</w:t>
            </w:r>
            <w:r w:rsidRPr="00E77A5A">
              <w:rPr>
                <w:sz w:val="20"/>
              </w:rPr>
              <w:br/>
              <w:t>Energy Engineering</w:t>
            </w:r>
            <w:r w:rsidRPr="00E77A5A">
              <w:rPr>
                <w:sz w:val="20"/>
              </w:rPr>
              <w:br/>
              <w:t>University of New South Wales</w:t>
            </w:r>
            <w:r w:rsidRPr="00E77A5A">
              <w:rPr>
                <w:sz w:val="20"/>
              </w:rPr>
              <w:br/>
              <w:t>Sydney, Australia</w:t>
            </w:r>
          </w:p>
        </w:tc>
        <w:tc>
          <w:tcPr>
            <w:tcW w:w="2500" w:type="pct"/>
          </w:tcPr>
          <w:p w14:paraId="145907E4" w14:textId="365E6600" w:rsidR="00E77A5A" w:rsidRPr="00E77A5A" w:rsidRDefault="00E77A5A" w:rsidP="00E77A5A">
            <w:pPr>
              <w:pStyle w:val="Author"/>
              <w:rPr>
                <w:sz w:val="20"/>
              </w:rPr>
            </w:pPr>
            <w:r w:rsidRPr="00E77A5A">
              <w:rPr>
                <w:sz w:val="20"/>
              </w:rPr>
              <w:t>Baran Yildiz</w:t>
            </w:r>
            <w:r w:rsidRPr="00E77A5A">
              <w:rPr>
                <w:sz w:val="20"/>
              </w:rPr>
              <w:br/>
              <w:t>School of Photovoltaic and Renewable</w:t>
            </w:r>
            <w:r w:rsidRPr="00E77A5A">
              <w:rPr>
                <w:sz w:val="20"/>
              </w:rPr>
              <w:br/>
              <w:t>Energy Engineering</w:t>
            </w:r>
            <w:r w:rsidRPr="00E77A5A">
              <w:rPr>
                <w:sz w:val="20"/>
              </w:rPr>
              <w:br/>
              <w:t>University of New South Wales</w:t>
            </w:r>
            <w:r w:rsidRPr="00E77A5A">
              <w:rPr>
                <w:sz w:val="20"/>
              </w:rPr>
              <w:br/>
              <w:t>Sydney, Australia</w:t>
            </w:r>
            <w:r w:rsidRPr="00E77A5A">
              <w:rPr>
                <w:sz w:val="20"/>
              </w:rPr>
              <w:br/>
              <w:t>baran.yildiz@unsw.edu.au</w:t>
            </w:r>
          </w:p>
        </w:tc>
      </w:tr>
    </w:tbl>
    <w:p w14:paraId="128D2612" w14:textId="0A31CDA1" w:rsidR="00CA4392" w:rsidRPr="00F847A6" w:rsidRDefault="00CA4392" w:rsidP="00CA4392">
      <w:pPr>
        <w:pStyle w:val="Author"/>
        <w:spacing w:before="100" w:beforeAutospacing="1"/>
        <w:rPr>
          <w:sz w:val="16"/>
          <w:szCs w:val="16"/>
        </w:rPr>
        <w:sectPr w:rsidR="00CA4392" w:rsidRPr="00F847A6" w:rsidSect="00E77A5A">
          <w:type w:val="continuous"/>
          <w:pgSz w:w="12240" w:h="15840" w:code="1"/>
          <w:pgMar w:top="1080" w:right="893" w:bottom="1440" w:left="893" w:header="720" w:footer="720" w:gutter="0"/>
          <w:cols w:space="216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3A092614" w14:textId="77777777" w:rsidR="00E77A5A" w:rsidRDefault="00E77A5A" w:rsidP="00E77A5A">
      <w:pPr>
        <w:pStyle w:val="Heading1"/>
      </w:pPr>
      <w:r>
        <w:t>Introduction</w:t>
      </w:r>
    </w:p>
    <w:p w14:paraId="759070A0" w14:textId="35830BDB" w:rsidR="00E77A5A" w:rsidRDefault="00E77A5A" w:rsidP="00E77A5A">
      <w:pPr>
        <w:pStyle w:val="bulletlist"/>
      </w:pPr>
      <w:r>
        <w:t xml:space="preserve">Residential demand flexibility can support power-system balancing, but its operating constraints and quantification remain heterogeneous. </w:t>
      </w:r>
      <w:hyperlink r:id="rId14" w:history="1">
        <w:r w:rsidRPr="00E77A5A">
          <w:rPr>
            <w:rStyle w:val="Hyperlink"/>
          </w:rPr>
          <w:t>(Luo et al., 2022)</w:t>
        </w:r>
      </w:hyperlink>
    </w:p>
    <w:p w14:paraId="399F2229" w14:textId="7A74F831" w:rsidR="00E77A5A" w:rsidRDefault="00E77A5A" w:rsidP="00E77A5A">
      <w:pPr>
        <w:pStyle w:val="bulletlist"/>
      </w:pPr>
      <w:r>
        <w:t xml:space="preserve">Aggregate smart-meter data are scalable but hide end-use composition; appliance-agnostic decomposition is useful only with a conservative claim. </w:t>
      </w:r>
      <w:hyperlink r:id="rId15" w:history="1">
        <w:r w:rsidRPr="00E77A5A">
          <w:rPr>
            <w:rStyle w:val="Hyperlink"/>
          </w:rPr>
          <w:t>(El Makroum et al., 2026)</w:t>
        </w:r>
      </w:hyperlink>
      <w:r>
        <w:t xml:space="preserve"> </w:t>
      </w:r>
      <w:hyperlink r:id="rId16" w:history="1">
        <w:r w:rsidRPr="00E77A5A">
          <w:rPr>
            <w:rStyle w:val="Hyperlink"/>
          </w:rPr>
          <w:t>(Kelly and Knottenbelt, 2015)</w:t>
        </w:r>
      </w:hyperlink>
    </w:p>
    <w:p w14:paraId="7DF15962" w14:textId="77777777" w:rsidR="00E77A5A" w:rsidRDefault="00E77A5A" w:rsidP="00E77A5A">
      <w:pPr>
        <w:pStyle w:val="bulletlist"/>
      </w:pPr>
      <w:r>
        <w:t>Alternatives considered: bottom-up appliance models require unavailable detail; independent timestamp scaling ignores event continuity; whole-window scaling can confuse load exposure with shiftability.</w:t>
      </w:r>
    </w:p>
    <w:p w14:paraId="06573C62" w14:textId="54279A9B" w:rsidR="00E77A5A" w:rsidRDefault="00E77A5A" w:rsidP="00E77A5A">
      <w:pPr>
        <w:pStyle w:val="bulletlist"/>
      </w:pPr>
      <w:r>
        <w:t xml:space="preserve">The selected rolling backbone balances low data burden with temporal structure. It is distinct from a demand-response counterfactual baseline. </w:t>
      </w:r>
      <w:hyperlink r:id="rId17" w:history="1">
        <w:r w:rsidRPr="00E77A5A">
          <w:rPr>
            <w:rStyle w:val="Hyperlink"/>
          </w:rPr>
          <w:t>(Valentini et al., 2022)</w:t>
        </w:r>
      </w:hyperlink>
    </w:p>
    <w:p w14:paraId="0B3CCB75" w14:textId="3CC9FCED" w:rsidR="00E77A5A" w:rsidRDefault="00E77A5A" w:rsidP="00E77A5A">
      <w:pPr>
        <w:pStyle w:val="bulletlist"/>
      </w:pPr>
      <w:r>
        <w:t xml:space="preserve">UK-DALE, REFIT, and NREL end-use profiles will justify plausible synthetic parameter ranges only. </w:t>
      </w:r>
      <w:hyperlink r:id="rId18" w:history="1">
        <w:r w:rsidRPr="00E77A5A">
          <w:rPr>
            <w:rStyle w:val="Hyperlink"/>
          </w:rPr>
          <w:t>(Kelly and Knottenbelt, 2015)</w:t>
        </w:r>
      </w:hyperlink>
      <w:r>
        <w:t xml:space="preserve"> </w:t>
      </w:r>
      <w:hyperlink r:id="rId19" w:history="1">
        <w:r w:rsidRPr="00E77A5A">
          <w:rPr>
            <w:rStyle w:val="Hyperlink"/>
          </w:rPr>
          <w:t>(Murray et al., 2017)</w:t>
        </w:r>
      </w:hyperlink>
      <w:r>
        <w:t xml:space="preserve"> </w:t>
      </w:r>
      <w:hyperlink r:id="rId20" w:history="1">
        <w:r w:rsidRPr="00E77A5A">
          <w:rPr>
            <w:rStyle w:val="Hyperlink"/>
          </w:rPr>
          <w:t>(NREL et al., 2022)</w:t>
        </w:r>
      </w:hyperlink>
    </w:p>
    <w:p w14:paraId="05C09E8C" w14:textId="77777777" w:rsidR="00E77A5A" w:rsidRDefault="00E77A5A" w:rsidP="00E77A5A">
      <w:pPr>
        <w:pStyle w:val="bulletlist"/>
      </w:pPr>
      <w:r>
        <w:t>Question and boundary: when can the method recover known shape-identifiable candidate flexibility? The residual is not verified physically flexible appliance demand; real-data, tariff-response, archetype, and SSO modelling are excluded.</w:t>
      </w:r>
    </w:p>
    <w:p w14:paraId="1028E322" w14:textId="77777777" w:rsidR="00E77A5A" w:rsidRDefault="00E77A5A" w:rsidP="00E77A5A">
      <w:pPr>
        <w:pStyle w:val="Heading2"/>
      </w:pPr>
      <w:r>
        <w:t>Proposed visuals</w:t>
      </w:r>
    </w:p>
    <w:p w14:paraId="54311143" w14:textId="77777777" w:rsidR="00E77A5A" w:rsidRDefault="00E77A5A" w:rsidP="00E77A5A">
      <w:pPr>
        <w:pStyle w:val="bulletlist"/>
      </w:pPr>
      <w:r>
        <w:t>Figure 1. Conceptual L = B + F + noise decomposition with the claim boundary.</w:t>
      </w:r>
    </w:p>
    <w:p w14:paraId="5AA64B03" w14:textId="77777777" w:rsidR="00E77A5A" w:rsidRDefault="00E77A5A" w:rsidP="00E77A5A">
      <w:pPr>
        <w:pStyle w:val="bulletlist"/>
      </w:pPr>
      <w:r>
        <w:t>Figure 2. 2x2 comparison of data burden versus temporal-structure fidelity for bottom-up, timestamp scaling, window scaling, and the proposed method.</w:t>
      </w:r>
    </w:p>
    <w:p w14:paraId="511FE568" w14:textId="77777777" w:rsidR="00E77A5A" w:rsidRDefault="00E77A5A" w:rsidP="00E77A5A">
      <w:pPr>
        <w:pStyle w:val="bulletlist"/>
      </w:pPr>
      <w:r>
        <w:t>Table I. Alternatives matrix: information required, strength, limitation, and decision.</w:t>
      </w:r>
    </w:p>
    <w:p w14:paraId="45B88950" w14:textId="77777777" w:rsidR="00E77A5A" w:rsidRDefault="00E77A5A" w:rsidP="00E77A5A">
      <w:pPr>
        <w:pStyle w:val="Heading1"/>
      </w:pPr>
      <w:r>
        <w:t>Method</w:t>
      </w:r>
    </w:p>
    <w:p w14:paraId="5638309F" w14:textId="77777777" w:rsidR="00E77A5A" w:rsidRDefault="00E77A5A" w:rsidP="00E77A5A">
      <w:pPr>
        <w:pStyle w:val="bulletlist"/>
      </w:pPr>
      <w:r>
        <w:t>Generate 365 days at 30-minute resolution, with known backbone, candidate-flexibility events, and noise.</w:t>
      </w:r>
    </w:p>
    <w:p w14:paraId="68EB9502" w14:textId="58D08DEB" w:rsidR="00E77A5A" w:rsidRDefault="00000000" w:rsidP="00E77A5A">
      <w:pPr>
        <w:pStyle w:val="equation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d,t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d,t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d,t</m:t>
              </m:r>
            </m:sub>
          </m:sSub>
        </m:oMath>
      </m:oMathPara>
    </w:p>
    <w:p w14:paraId="4E58830E" w14:textId="77777777" w:rsidR="00E77A5A" w:rsidRDefault="00E77A5A" w:rsidP="00E77A5A">
      <w:pPr>
        <w:pStyle w:val="bulletlist"/>
      </w:pPr>
      <w:r>
        <w:t>Vary backbone shape, event magnitude, duration, start-time variability, and noise using a small transparent experiment grid.</w:t>
      </w:r>
    </w:p>
    <w:p w14:paraId="3F1F4D86" w14:textId="77777777" w:rsidR="00E77A5A" w:rsidRDefault="00E77A5A" w:rsidP="00E77A5A">
      <w:pPr>
        <w:pStyle w:val="bulletlist"/>
      </w:pPr>
      <w:r>
        <w:t>Estimate the backbone at each time of day from a W-day rolling neighbourhood using lower quantile q.</w:t>
      </w:r>
    </w:p>
    <w:p w14:paraId="727F82C7" w14:textId="7952F768" w:rsidR="00E77A5A" w:rsidRDefault="00000000" w:rsidP="00E77A5A">
      <w:pPr>
        <w:pStyle w:val="equation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,t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: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</m:d>
                        </m:sub>
                      </m:sSub>
                    </m:e>
                  </m:d>
                </m:e>
              </m:d>
            </m:sub>
          </m:sSub>
        </m:oMath>
      </m:oMathPara>
    </w:p>
    <w:p w14:paraId="1CF1A0A7" w14:textId="77777777" w:rsidR="00E77A5A" w:rsidRDefault="00E77A5A" w:rsidP="00E77A5A">
      <w:pPr>
        <w:pStyle w:val="bulletlist"/>
      </w:pPr>
      <w:r>
        <w:t>Define candidate flexibility as the non-negative excursion above the estimated backbone.</w:t>
      </w:r>
    </w:p>
    <w:p w14:paraId="0F1F84C5" w14:textId="70353577" w:rsidR="00E77A5A" w:rsidRDefault="00000000" w:rsidP="00E77A5A">
      <w:pPr>
        <w:pStyle w:val="equation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d,t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d,t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d,t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,0</m:t>
                  </m:r>
                </m:e>
              </m:d>
            </m:e>
          </m:func>
        </m:oMath>
      </m:oMathPara>
    </w:p>
    <w:p w14:paraId="58957A95" w14:textId="77777777" w:rsidR="00E77A5A" w:rsidRDefault="00E77A5A" w:rsidP="00E77A5A">
      <w:pPr>
        <w:pStyle w:val="bulletlist"/>
      </w:pPr>
      <w:r>
        <w:lastRenderedPageBreak/>
        <w:t>Compare with two benchmarks: a whole-history time-of-day low quantile and a rolling minimum or lower envelope.</w:t>
      </w:r>
    </w:p>
    <w:p w14:paraId="1E949914" w14:textId="77777777" w:rsidR="00E77A5A" w:rsidRDefault="00E77A5A" w:rsidP="00E77A5A">
      <w:pPr>
        <w:pStyle w:val="bulletlist"/>
      </w:pPr>
      <w:r>
        <w:t>Use repeated random seeds and a prespecified q-W sensitivity grid.</w:t>
      </w:r>
    </w:p>
    <w:p w14:paraId="2471041C" w14:textId="77777777" w:rsidR="00E77A5A" w:rsidRDefault="00E77A5A" w:rsidP="00E77A5A">
      <w:pPr>
        <w:pStyle w:val="bulletlist"/>
      </w:pPr>
      <w:r>
        <w:t>Evaluate backbone RMSE, flexibility RMSE, and relative flexible-energy error against known ground truth.</w:t>
      </w:r>
    </w:p>
    <w:p w14:paraId="5389106D" w14:textId="497EAF55" w:rsidR="00E77A5A" w:rsidRDefault="00E77A5A" w:rsidP="00E77A5A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RMS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d,t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d,t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d,t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true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3A1810E" w14:textId="35B344F0" w:rsidR="00E77A5A" w:rsidRDefault="00E77A5A" w:rsidP="00E77A5A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RMS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d,t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d,t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d,t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true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DA4F7A1" w14:textId="515F6461" w:rsidR="00E77A5A" w:rsidRDefault="00000000" w:rsidP="00E77A5A">
      <w:pPr>
        <w:pStyle w:val="equation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true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d,t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d,t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true</m:t>
                  </m:r>
                </m:sup>
              </m:sSubSup>
              <m:r>
                <w:rPr>
                  <w:rFonts w:ascii="Cambria Math" w:hAnsi="Cambria Math"/>
                </w:rPr>
                <m:t>Δt</m:t>
              </m:r>
            </m:e>
          </m:nary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d,t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d,t</m:t>
                  </m:r>
                </m:sub>
              </m:sSub>
              <m:r>
                <w:rPr>
                  <w:rFonts w:ascii="Cambria Math" w:hAnsi="Cambria Math"/>
                </w:rPr>
                <m:t>Δt</m:t>
              </m:r>
            </m:e>
          </m:nary>
        </m:oMath>
      </m:oMathPara>
    </w:p>
    <w:p w14:paraId="56288F7F" w14:textId="12864D00" w:rsidR="00E77A5A" w:rsidRDefault="00E77A5A" w:rsidP="00E77A5A">
      <w:pPr>
        <w:pStyle w:val="equation"/>
        <w:rPr>
          <w:rFonts w:hint="eastAsia"/>
        </w:rPr>
      </w:pPr>
      <m:oMathPara>
        <m:oMath>
          <m:r>
            <w:rPr>
              <w:rFonts w:ascii="Cambria Math" w:hAnsi="Cambria Math"/>
            </w:rPr>
            <m:t>Erro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true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true</m:t>
                  </m:r>
                </m:sup>
              </m:sSubSup>
            </m:den>
          </m:f>
        </m:oMath>
      </m:oMathPara>
    </w:p>
    <w:p w14:paraId="21DA896A" w14:textId="77777777" w:rsidR="00E77A5A" w:rsidRDefault="00E77A5A" w:rsidP="00E77A5A">
      <w:pPr>
        <w:pStyle w:val="Heading2"/>
      </w:pPr>
      <w:r>
        <w:t>Proposed visuals</w:t>
      </w:r>
    </w:p>
    <w:p w14:paraId="569839C5" w14:textId="77777777" w:rsidR="00E77A5A" w:rsidRDefault="00E77A5A" w:rsidP="00E77A5A">
      <w:pPr>
        <w:pStyle w:val="bulletlist"/>
      </w:pPr>
      <w:r>
        <w:t>Figure 3. End-to-end synthetic generation, estimation, and scoring workflow.</w:t>
      </w:r>
    </w:p>
    <w:p w14:paraId="2926779D" w14:textId="77777777" w:rsidR="00E77A5A" w:rsidRDefault="00E77A5A" w:rsidP="00E77A5A">
      <w:pPr>
        <w:pStyle w:val="bulletlist"/>
      </w:pPr>
      <w:r>
        <w:t>Table II. Experiment factors, levels, repetitions, q-W grid, and benchmarks.</w:t>
      </w:r>
    </w:p>
    <w:p w14:paraId="56726E92" w14:textId="77777777" w:rsidR="00E77A5A" w:rsidRDefault="00E77A5A" w:rsidP="00E77A5A">
      <w:pPr>
        <w:pStyle w:val="bulletlist"/>
      </w:pPr>
      <w:r>
        <w:t>Figure 4. Representative synthetic backbone and event families.</w:t>
      </w:r>
    </w:p>
    <w:p w14:paraId="0CF7A815" w14:textId="77777777" w:rsidR="00E77A5A" w:rsidRDefault="00E77A5A" w:rsidP="00E77A5A">
      <w:pPr>
        <w:pStyle w:val="Heading1"/>
      </w:pPr>
      <w:r>
        <w:t>Results and Discussion</w:t>
      </w:r>
    </w:p>
    <w:p w14:paraId="2AED732B" w14:textId="77777777" w:rsidR="00E77A5A" w:rsidRDefault="00E77A5A" w:rsidP="00E77A5A">
      <w:pPr>
        <w:pStyle w:val="bulletlist"/>
      </w:pPr>
      <w:r>
        <w:t>Compare all three estimators using RMSE_B, RMSE_F, and Error_E with uncertainty across repetitions.</w:t>
      </w:r>
    </w:p>
    <w:p w14:paraId="19C1F6C5" w14:textId="77777777" w:rsidR="00E77A5A" w:rsidRDefault="00E77A5A" w:rsidP="00E77A5A">
      <w:pPr>
        <w:pStyle w:val="bulletlist"/>
      </w:pPr>
      <w:r>
        <w:t>Test sensitivity to backbone shape and seasonal drift.</w:t>
      </w:r>
    </w:p>
    <w:p w14:paraId="37F0A28F" w14:textId="77777777" w:rsidR="00E77A5A" w:rsidRDefault="00E77A5A" w:rsidP="00E77A5A">
      <w:pPr>
        <w:pStyle w:val="bulletlist"/>
      </w:pPr>
      <w:r>
        <w:t>Quantify effects of event magnitude, duration, and noise.</w:t>
      </w:r>
    </w:p>
    <w:p w14:paraId="7EDA523E" w14:textId="77777777" w:rsidR="00E77A5A" w:rsidRDefault="00E77A5A" w:rsidP="00E77A5A">
      <w:pPr>
        <w:pStyle w:val="bulletlist"/>
      </w:pPr>
      <w:r>
        <w:t>Treat timing regularity as the key identifiability boundary: persistent events may be absorbed into the backbone.</w:t>
      </w:r>
    </w:p>
    <w:p w14:paraId="343B1776" w14:textId="77777777" w:rsidR="00E77A5A" w:rsidRDefault="00E77A5A" w:rsidP="00E77A5A">
      <w:pPr>
        <w:pStyle w:val="bulletlist"/>
      </w:pPr>
      <w:r>
        <w:t>Report q-W sensitivity and show one success case and one failure case.</w:t>
      </w:r>
    </w:p>
    <w:p w14:paraId="461AA798" w14:textId="77777777" w:rsidR="00E77A5A" w:rsidRDefault="00E77A5A" w:rsidP="00E77A5A">
      <w:pPr>
        <w:pStyle w:val="bulletlist"/>
      </w:pPr>
      <w:r>
        <w:t>Interpret good synthetic recovery as methodological evidence only, not proof of appliance identity, technical shiftability, willingness, or dispatchability.</w:t>
      </w:r>
    </w:p>
    <w:p w14:paraId="11699546" w14:textId="77777777" w:rsidR="00E77A5A" w:rsidRDefault="00E77A5A" w:rsidP="00E77A5A">
      <w:pPr>
        <w:pStyle w:val="Heading2"/>
      </w:pPr>
      <w:r>
        <w:t>Proposed visuals</w:t>
      </w:r>
    </w:p>
    <w:p w14:paraId="2C3BB31F" w14:textId="77777777" w:rsidR="00E77A5A" w:rsidRDefault="00E77A5A" w:rsidP="00E77A5A">
      <w:pPr>
        <w:pStyle w:val="bulletlist"/>
      </w:pPr>
      <w:r>
        <w:t>Table III. Main metrics by estimator and condition.</w:t>
      </w:r>
    </w:p>
    <w:p w14:paraId="60F0EBC9" w14:textId="77777777" w:rsidR="00E77A5A" w:rsidRDefault="00E77A5A" w:rsidP="00E77A5A">
      <w:pPr>
        <w:pStyle w:val="bulletlist"/>
      </w:pPr>
      <w:r>
        <w:t>Figure 5. Error heat maps across timing variability and noise.</w:t>
      </w:r>
    </w:p>
    <w:p w14:paraId="2ADF7D7B" w14:textId="77777777" w:rsidR="00E77A5A" w:rsidRDefault="00E77A5A" w:rsidP="00E77A5A">
      <w:pPr>
        <w:pStyle w:val="bulletlist"/>
      </w:pPr>
      <w:r>
        <w:t>Figure 6. Success/failure overlays with q-W sensitivity.</w:t>
      </w:r>
    </w:p>
    <w:p w14:paraId="06660E0E" w14:textId="77777777" w:rsidR="00E77A5A" w:rsidRDefault="00E77A5A" w:rsidP="00E77A5A">
      <w:pPr>
        <w:pStyle w:val="Heading1"/>
      </w:pPr>
      <w:r>
        <w:t>Conclusion</w:t>
      </w:r>
    </w:p>
    <w:p w14:paraId="6FDD3B87" w14:textId="77777777" w:rsidR="00E77A5A" w:rsidRDefault="00E77A5A" w:rsidP="00E77A5A">
      <w:pPr>
        <w:pStyle w:val="bulletlist"/>
      </w:pPr>
      <w:r>
        <w:t>State whether the proposed method outperforms the two benchmarks.</w:t>
      </w:r>
    </w:p>
    <w:p w14:paraId="126C6D3A" w14:textId="77777777" w:rsidR="00E77A5A" w:rsidRDefault="00E77A5A" w:rsidP="00E77A5A">
      <w:pPr>
        <w:pStyle w:val="bulletlist"/>
      </w:pPr>
      <w:r>
        <w:t>Summarise the conditions supporting accurate recovery.</w:t>
      </w:r>
    </w:p>
    <w:p w14:paraId="766AC93E" w14:textId="77777777" w:rsidR="00E77A5A" w:rsidRDefault="00E77A5A" w:rsidP="00E77A5A">
      <w:pPr>
        <w:pStyle w:val="bulletlist"/>
      </w:pPr>
      <w:r>
        <w:t>Emphasise the failure boundary for temporally persistent flexible loads.</w:t>
      </w:r>
    </w:p>
    <w:p w14:paraId="073B529A" w14:textId="77777777" w:rsidR="00E77A5A" w:rsidRDefault="00E77A5A" w:rsidP="00E77A5A">
      <w:pPr>
        <w:pStyle w:val="bulletlist"/>
      </w:pPr>
      <w:r>
        <w:t>Future work: validate against paired aggregate and appliance-level ground truth before adding tariff-response modelling.</w:t>
      </w:r>
    </w:p>
    <w:p w14:paraId="2A5DE92A" w14:textId="79B74768" w:rsidR="009303D9" w:rsidRPr="00F96569" w:rsidRDefault="009303D9" w:rsidP="00F96569">
      <w:pPr>
        <w:pStyle w:val="references"/>
        <w:numPr>
          <w:ilvl w:val="0"/>
          <w:numId w:val="0"/>
        </w:numPr>
        <w:ind w:left="360" w:hanging="360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9303D9" w:rsidRPr="00F96569" w:rsidSect="00C919A4">
          <w:type w:val="continuous"/>
          <w:pgSz w:w="12240" w:h="15840" w:code="1"/>
          <w:pgMar w:top="1080" w:right="907" w:bottom="1440" w:left="907" w:header="720" w:footer="720" w:gutter="0"/>
          <w:cols w:num="2" w:space="360"/>
          <w:docGrid w:linePitch="360"/>
        </w:sectPr>
      </w:pPr>
    </w:p>
    <w:p w14:paraId="6FC6C90C" w14:textId="77777777" w:rsidR="009303D9" w:rsidRPr="00F96569" w:rsidRDefault="009303D9" w:rsidP="00F96569">
      <w:pPr>
        <w:rPr>
          <w:color w:val="FF0000"/>
        </w:rPr>
      </w:pPr>
    </w:p>
    <w:sectPr w:rsidR="009303D9" w:rsidRPr="00F96569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D462E" w14:textId="77777777" w:rsidR="00825DA1" w:rsidRDefault="00825DA1" w:rsidP="001A3B3D">
      <w:r>
        <w:separator/>
      </w:r>
    </w:p>
  </w:endnote>
  <w:endnote w:type="continuationSeparator" w:id="0">
    <w:p w14:paraId="53D2209C" w14:textId="77777777" w:rsidR="00825DA1" w:rsidRDefault="00825DA1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A6AA" w14:textId="77777777" w:rsidR="004801B8" w:rsidRDefault="0048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E417" w14:textId="77777777" w:rsidR="004801B8" w:rsidRDefault="004801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27D30BD8" w:rsidR="001A3B3D" w:rsidRPr="006F6D3D" w:rsidRDefault="001A3B3D" w:rsidP="0056610F">
    <w:pPr>
      <w:pStyle w:val="Footer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9928" w14:textId="77777777" w:rsidR="00825DA1" w:rsidRDefault="00825DA1" w:rsidP="001A3B3D">
      <w:r>
        <w:separator/>
      </w:r>
    </w:p>
  </w:footnote>
  <w:footnote w:type="continuationSeparator" w:id="0">
    <w:p w14:paraId="734F702D" w14:textId="77777777" w:rsidR="00825DA1" w:rsidRDefault="00825DA1" w:rsidP="001A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B146" w14:textId="77777777" w:rsidR="004801B8" w:rsidRDefault="00480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DCD0" w14:textId="77777777" w:rsidR="004801B8" w:rsidRDefault="004801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E56F" w14:textId="77777777" w:rsidR="004801B8" w:rsidRDefault="00480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70627"/>
    <w:rsid w:val="001A2EFD"/>
    <w:rsid w:val="001A3B3D"/>
    <w:rsid w:val="001A42EA"/>
    <w:rsid w:val="001B67DC"/>
    <w:rsid w:val="001D7BCF"/>
    <w:rsid w:val="001E1B72"/>
    <w:rsid w:val="002254A9"/>
    <w:rsid w:val="00233D97"/>
    <w:rsid w:val="00263761"/>
    <w:rsid w:val="002850E3"/>
    <w:rsid w:val="00354FCF"/>
    <w:rsid w:val="003A19E2"/>
    <w:rsid w:val="0040554B"/>
    <w:rsid w:val="00421EC6"/>
    <w:rsid w:val="004325FB"/>
    <w:rsid w:val="004432BA"/>
    <w:rsid w:val="0044407E"/>
    <w:rsid w:val="004801B8"/>
    <w:rsid w:val="004819A5"/>
    <w:rsid w:val="004D72B5"/>
    <w:rsid w:val="00540E88"/>
    <w:rsid w:val="00547E73"/>
    <w:rsid w:val="00551B7F"/>
    <w:rsid w:val="0056610F"/>
    <w:rsid w:val="00575454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5AED"/>
    <w:rsid w:val="007D6232"/>
    <w:rsid w:val="007F1F99"/>
    <w:rsid w:val="007F768F"/>
    <w:rsid w:val="0080791D"/>
    <w:rsid w:val="00825DA1"/>
    <w:rsid w:val="00873603"/>
    <w:rsid w:val="008A2C7D"/>
    <w:rsid w:val="008C1349"/>
    <w:rsid w:val="008C4B23"/>
    <w:rsid w:val="008F6E2C"/>
    <w:rsid w:val="009303D9"/>
    <w:rsid w:val="00933C64"/>
    <w:rsid w:val="00972203"/>
    <w:rsid w:val="00974C1E"/>
    <w:rsid w:val="00A059B3"/>
    <w:rsid w:val="00A83751"/>
    <w:rsid w:val="00AE3409"/>
    <w:rsid w:val="00AE4458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801AC"/>
    <w:rsid w:val="00C919A4"/>
    <w:rsid w:val="00CA4392"/>
    <w:rsid w:val="00CC393F"/>
    <w:rsid w:val="00CC737B"/>
    <w:rsid w:val="00D13749"/>
    <w:rsid w:val="00D2176E"/>
    <w:rsid w:val="00D632BE"/>
    <w:rsid w:val="00D660D0"/>
    <w:rsid w:val="00D72D06"/>
    <w:rsid w:val="00D7522C"/>
    <w:rsid w:val="00D7536F"/>
    <w:rsid w:val="00D76668"/>
    <w:rsid w:val="00DB4C90"/>
    <w:rsid w:val="00DC095F"/>
    <w:rsid w:val="00DD1AC0"/>
    <w:rsid w:val="00E61E12"/>
    <w:rsid w:val="00E7596C"/>
    <w:rsid w:val="00E77A5A"/>
    <w:rsid w:val="00E878F2"/>
    <w:rsid w:val="00EA1D35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doi.org/10.1038/sdata.2015.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doi.org/10.3390/en1514525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38/sdata.2015.7" TargetMode="External"/><Relationship Id="rId20" Type="http://schemas.openxmlformats.org/officeDocument/2006/relationships/hyperlink" Target="https://www.nrel.gov/docs/fy22osti/80889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enconman.2026.121481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doi.org/10.1038/sdata.2016.122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oi.org/10.1016/j.eng.2022.01.01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Samhan Samhan</cp:lastModifiedBy>
  <cp:revision>5</cp:revision>
  <dcterms:created xsi:type="dcterms:W3CDTF">2026-08-27T22:20:00Z</dcterms:created>
  <dcterms:modified xsi:type="dcterms:W3CDTF">2026-08-27T22:31:00Z</dcterms:modified>
</cp:coreProperties>
</file>