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3603" w14:textId="77777777" w:rsidR="007E34BB" w:rsidRDefault="00000000">
      <w:pPr>
        <w:pStyle w:val="Title"/>
      </w:pPr>
      <w:r>
        <w:t>Limited evidence of test-retest reliability in infant-directed speech preference in a large preregistered infant experiment</w:t>
      </w:r>
    </w:p>
    <w:p w14:paraId="00BECBEA" w14:textId="77777777" w:rsidR="007E34BB" w:rsidRDefault="00000000">
      <w:pPr>
        <w:pStyle w:val="Author"/>
      </w:pPr>
      <w:r>
        <w:t>Melanie S. Schreiner</w:t>
      </w:r>
      <w:r>
        <w:rPr>
          <w:vertAlign w:val="superscript"/>
        </w:rPr>
        <w:t>1,2</w:t>
      </w:r>
      <w:r>
        <w:t>, Martin Zettersten</w:t>
      </w:r>
      <w:r>
        <w:rPr>
          <w:vertAlign w:val="superscript"/>
        </w:rPr>
        <w:t>3,4</w:t>
      </w:r>
      <w:r>
        <w:t>, Christina Bergmann</w:t>
      </w:r>
      <w:r>
        <w:rPr>
          <w:vertAlign w:val="superscript"/>
        </w:rPr>
        <w:t>5</w:t>
      </w:r>
      <w:r>
        <w:t>, Michael C. Frank</w:t>
      </w:r>
      <w:r>
        <w:rPr>
          <w:vertAlign w:val="superscript"/>
        </w:rPr>
        <w:t>6</w:t>
      </w:r>
      <w:r>
        <w:t>, Tom Fritzsche</w:t>
      </w:r>
      <w:r>
        <w:rPr>
          <w:vertAlign w:val="superscript"/>
        </w:rPr>
        <w:t>7</w:t>
      </w:r>
      <w:r>
        <w:t>, Nayeli Gonzalez-Gomez</w:t>
      </w:r>
      <w:r>
        <w:rPr>
          <w:vertAlign w:val="superscript"/>
        </w:rPr>
        <w:t>8</w:t>
      </w:r>
      <w:r>
        <w:t>, Kiley Hamlin</w:t>
      </w:r>
      <w:r>
        <w:rPr>
          <w:vertAlign w:val="superscript"/>
        </w:rPr>
        <w:t>9</w:t>
      </w:r>
      <w:r>
        <w:t>, Natalia Kartushina</w:t>
      </w:r>
      <w:r>
        <w:rPr>
          <w:vertAlign w:val="superscript"/>
        </w:rPr>
        <w:t>10</w:t>
      </w:r>
      <w:r>
        <w:t>, Danielle J. Kellier</w:t>
      </w:r>
      <w:r>
        <w:rPr>
          <w:vertAlign w:val="superscript"/>
        </w:rPr>
        <w:t>11</w:t>
      </w:r>
      <w:r>
        <w:t>, Nivedita Mani</w:t>
      </w:r>
      <w:r>
        <w:rPr>
          <w:vertAlign w:val="superscript"/>
        </w:rPr>
        <w:t>1,2</w:t>
      </w:r>
      <w:r>
        <w:t>, Julien Mayor</w:t>
      </w:r>
      <w:r>
        <w:rPr>
          <w:vertAlign w:val="superscript"/>
        </w:rPr>
        <w:t>10</w:t>
      </w:r>
      <w:r>
        <w:t>, Jenny Saffran</w:t>
      </w:r>
      <w:r>
        <w:rPr>
          <w:vertAlign w:val="superscript"/>
        </w:rPr>
        <w:t>3</w:t>
      </w:r>
      <w:r>
        <w:t>, Mohinish Shukla</w:t>
      </w:r>
      <w:r>
        <w:rPr>
          <w:vertAlign w:val="superscript"/>
        </w:rPr>
        <w:t>12</w:t>
      </w:r>
      <w:r>
        <w:t>, Priya Silverstein^13, 14^, Melanie Soderstrom</w:t>
      </w:r>
      <w:r>
        <w:rPr>
          <w:vertAlign w:val="superscript"/>
        </w:rPr>
        <w:t>15</w:t>
      </w:r>
      <w:r>
        <w:t>, &amp; Matthias Lippold</w:t>
      </w:r>
      <w:r>
        <w:rPr>
          <w:vertAlign w:val="superscript"/>
        </w:rPr>
        <w:t>1,2</w:t>
      </w:r>
    </w:p>
    <w:p w14:paraId="63E66702" w14:textId="16833410" w:rsidR="007E34BB" w:rsidRDefault="00000000" w:rsidP="00EC29DE">
      <w:pPr>
        <w:pStyle w:val="Author"/>
      </w:pPr>
      <w:r>
        <w:rPr>
          <w:vertAlign w:val="superscript"/>
        </w:rPr>
        <w:t>1</w:t>
      </w:r>
      <w:r>
        <w:t xml:space="preserve">University of </w:t>
      </w:r>
      <w:proofErr w:type="spellStart"/>
      <w:r>
        <w:t>Goettingen</w:t>
      </w:r>
      <w:proofErr w:type="spellEnd"/>
      <w:r w:rsidR="00EC29DE">
        <w:t xml:space="preserve">, </w:t>
      </w:r>
      <w:r>
        <w:rPr>
          <w:vertAlign w:val="superscript"/>
        </w:rPr>
        <w:t>2</w:t>
      </w:r>
      <w:r>
        <w:t xml:space="preserve">Leibniz Science Campus </w:t>
      </w:r>
      <w:proofErr w:type="spellStart"/>
      <w:r>
        <w:t>PrimateCognition</w:t>
      </w:r>
      <w:proofErr w:type="spellEnd"/>
      <w:r w:rsidR="00EC29DE">
        <w:t xml:space="preserve">, </w:t>
      </w:r>
      <w:r>
        <w:rPr>
          <w:vertAlign w:val="superscript"/>
        </w:rPr>
        <w:t>3</w:t>
      </w:r>
      <w:r>
        <w:t>University of</w:t>
      </w:r>
      <w:r w:rsidR="00EC29DE">
        <w:t xml:space="preserve"> </w:t>
      </w:r>
      <w:r>
        <w:t>Wisconsin-Madison</w:t>
      </w:r>
      <w:r w:rsidR="00EC29DE">
        <w:t xml:space="preserve">, </w:t>
      </w:r>
      <w:r>
        <w:rPr>
          <w:vertAlign w:val="superscript"/>
        </w:rPr>
        <w:t>4</w:t>
      </w:r>
      <w:r>
        <w:t>Princeton University</w:t>
      </w:r>
      <w:r w:rsidR="00EC29DE">
        <w:t xml:space="preserve">, </w:t>
      </w:r>
      <w:r>
        <w:rPr>
          <w:vertAlign w:val="superscript"/>
        </w:rPr>
        <w:t>5</w:t>
      </w:r>
      <w:r>
        <w:t xml:space="preserve">Max Planck </w:t>
      </w:r>
      <w:proofErr w:type="spellStart"/>
      <w:r>
        <w:t>Insitute</w:t>
      </w:r>
      <w:proofErr w:type="spellEnd"/>
      <w:r>
        <w:t xml:space="preserve"> for Psycholinguistics</w:t>
      </w:r>
      <w:r w:rsidR="00EC29DE">
        <w:t xml:space="preserve">, </w:t>
      </w:r>
      <w:r>
        <w:rPr>
          <w:vertAlign w:val="superscript"/>
        </w:rPr>
        <w:t>6</w:t>
      </w:r>
      <w:r>
        <w:t>Stanford University</w:t>
      </w:r>
      <w:r w:rsidR="00EC29DE">
        <w:t xml:space="preserve">, </w:t>
      </w:r>
      <w:r>
        <w:rPr>
          <w:vertAlign w:val="superscript"/>
        </w:rPr>
        <w:t>7</w:t>
      </w:r>
      <w:r>
        <w:t>University of Potsdam</w:t>
      </w:r>
      <w:r w:rsidR="00EC29DE">
        <w:t xml:space="preserve">, </w:t>
      </w:r>
      <w:r>
        <w:rPr>
          <w:vertAlign w:val="superscript"/>
        </w:rPr>
        <w:t>8</w:t>
      </w:r>
      <w:r>
        <w:t>Oxford Brookes University</w:t>
      </w:r>
      <w:r w:rsidR="00EC29DE">
        <w:t xml:space="preserve">, </w:t>
      </w:r>
      <w:r>
        <w:rPr>
          <w:vertAlign w:val="superscript"/>
        </w:rPr>
        <w:t>9</w:t>
      </w:r>
      <w:r>
        <w:t>University of British Columbia</w:t>
      </w:r>
      <w:r w:rsidR="00EC29DE">
        <w:t xml:space="preserve">, </w:t>
      </w:r>
      <w:r>
        <w:rPr>
          <w:vertAlign w:val="superscript"/>
        </w:rPr>
        <w:t>10</w:t>
      </w:r>
      <w:r>
        <w:t>University of Oslo</w:t>
      </w:r>
      <w:r w:rsidR="00EC29DE">
        <w:t xml:space="preserve">, </w:t>
      </w:r>
      <w:r>
        <w:rPr>
          <w:vertAlign w:val="superscript"/>
        </w:rPr>
        <w:t>11</w:t>
      </w:r>
      <w:r>
        <w:t>University of Pennsylvania</w:t>
      </w:r>
      <w:r w:rsidR="00EC29DE">
        <w:t xml:space="preserve">, </w:t>
      </w:r>
      <w:r>
        <w:rPr>
          <w:vertAlign w:val="superscript"/>
        </w:rPr>
        <w:t>12</w:t>
      </w:r>
      <w:r>
        <w:t>Università di Padova</w:t>
      </w:r>
      <w:r w:rsidR="00EC29DE">
        <w:t xml:space="preserve">, </w:t>
      </w:r>
      <w:r>
        <w:rPr>
          <w:vertAlign w:val="superscript"/>
        </w:rPr>
        <w:t>13</w:t>
      </w:r>
      <w:r>
        <w:t>Institute for Globally Distributed Open Research</w:t>
      </w:r>
      <w:r w:rsidR="00EC29DE">
        <w:t xml:space="preserve">, </w:t>
      </w:r>
      <w:r>
        <w:rPr>
          <w:vertAlign w:val="superscript"/>
        </w:rPr>
        <w:t>14</w:t>
      </w:r>
      <w:r>
        <w:t>Ashland University</w:t>
      </w:r>
      <w:r w:rsidR="00EC29DE">
        <w:t xml:space="preserve">, </w:t>
      </w:r>
      <w:r>
        <w:rPr>
          <w:vertAlign w:val="superscript"/>
        </w:rPr>
        <w:t>15</w:t>
      </w:r>
      <w:r>
        <w:t>University of Manitoba</w:t>
      </w:r>
    </w:p>
    <w:p w14:paraId="028F7E9F" w14:textId="77777777" w:rsidR="00EC29DE" w:rsidRDefault="00EC29DE">
      <w:pPr>
        <w:pStyle w:val="BodyText"/>
      </w:pPr>
    </w:p>
    <w:p w14:paraId="6553B3E4" w14:textId="4270F5B8" w:rsidR="007E34BB" w:rsidRDefault="00000000">
      <w:pPr>
        <w:pStyle w:val="BodyText"/>
      </w:pPr>
      <w:r>
        <w:t> </w:t>
      </w:r>
    </w:p>
    <w:p w14:paraId="572923CB" w14:textId="77777777" w:rsidR="007E34BB" w:rsidRDefault="00000000">
      <w:pPr>
        <w:pStyle w:val="BodyText"/>
      </w:pPr>
      <w:r>
        <w:t> </w:t>
      </w:r>
    </w:p>
    <w:p w14:paraId="604F0726" w14:textId="77777777" w:rsidR="007E34BB" w:rsidRDefault="00000000">
      <w:pPr>
        <w:pStyle w:val="Author"/>
      </w:pPr>
      <w:r>
        <w:lastRenderedPageBreak/>
        <w:t>Author note</w:t>
      </w:r>
    </w:p>
    <w:p w14:paraId="52D225EE" w14:textId="77777777" w:rsidR="007E34BB" w:rsidRDefault="00000000">
      <w:pPr>
        <w:pStyle w:val="BodyText"/>
      </w:pPr>
      <w:r>
        <w:rPr>
          <w:b/>
          <w:bCs/>
        </w:rPr>
        <w:t>Acknowledgements.</w:t>
      </w:r>
      <w:r>
        <w:t xml:space="preserve">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w:t>
      </w:r>
    </w:p>
    <w:p w14:paraId="6305EF3B" w14:textId="77777777" w:rsidR="007E34BB" w:rsidRDefault="00000000">
      <w:pPr>
        <w:pStyle w:val="BodyText"/>
      </w:pPr>
      <w:r>
        <w:rPr>
          <w:b/>
          <w:bCs/>
        </w:rPr>
        <w:t>Conflict of Interest Statement.</w:t>
      </w:r>
      <w:r>
        <w:t xml:space="preserve"> The authors declare that there are no conflicts of interest for this work.</w:t>
      </w:r>
    </w:p>
    <w:p w14:paraId="75B7871E" w14:textId="77777777" w:rsidR="007E34BB" w:rsidRDefault="00000000">
      <w:pPr>
        <w:pStyle w:val="BodyText"/>
      </w:pPr>
      <w:r>
        <w:rPr>
          <w:b/>
          <w:bCs/>
        </w:rPr>
        <w:t>Data Availability Statement.</w:t>
      </w:r>
      <w:r>
        <w:t xml:space="preserve"> All code for reproducing the paper is available at </w:t>
      </w:r>
      <w:hyperlink r:id="rId7">
        <w:r>
          <w:rPr>
            <w:rStyle w:val="Hyperlink"/>
          </w:rPr>
          <w:t>https://github.com/msschreiner/MB1T</w:t>
        </w:r>
      </w:hyperlink>
      <w:r>
        <w:t>. Data and materials are available on OSF (</w:t>
      </w:r>
      <w:hyperlink r:id="rId8">
        <w:r>
          <w:rPr>
            <w:rStyle w:val="Hyperlink"/>
          </w:rPr>
          <w:t>https://osf.io/zeqka/?view_only=e027502f4e7f49408cfb2cba38f7b506</w:t>
        </w:r>
      </w:hyperlink>
      <w:r>
        <w:t>).</w:t>
      </w:r>
    </w:p>
    <w:p w14:paraId="1CC77E31" w14:textId="77777777" w:rsidR="007E34BB" w:rsidRDefault="00000000">
      <w:pPr>
        <w:pStyle w:val="BodyText"/>
      </w:pPr>
      <w:r>
        <w:rPr>
          <w:b/>
          <w:bCs/>
        </w:rPr>
        <w:t>CRediT author statement.</w:t>
      </w:r>
      <w:r>
        <w:t xml:space="preserve"> Outside of the position of the first, the second, and the last author, authorship position was determined by sorting authors’ last names in alphabetical order. An overview of authorship contributions following the CRediT taxonomy can be viewed here: </w:t>
      </w:r>
      <w:hyperlink r:id="rId9">
        <w:r>
          <w:rPr>
            <w:rStyle w:val="Hyperlink"/>
          </w:rPr>
          <w:t>https://docs.google.com/spreadsheets/d/1jDvb0xL1U6YbXrpPZ1UyfyQ7yYK9aXo002UaArqy35U/edit?usp=sharing</w:t>
        </w:r>
      </w:hyperlink>
      <w:r>
        <w:t>.</w:t>
      </w:r>
    </w:p>
    <w:p w14:paraId="2C40CDAE" w14:textId="77777777" w:rsidR="007E34BB" w:rsidRDefault="00000000">
      <w:pPr>
        <w:pStyle w:val="BodyText"/>
      </w:pPr>
      <w:r>
        <w:t xml:space="preserve">Correspondence concerning this article should be addressed to Melanie S. Schreiner, Gosslerstr. 14, 37073 Göttingen. E-mail: </w:t>
      </w:r>
      <w:hyperlink r:id="rId10">
        <w:r>
          <w:rPr>
            <w:rStyle w:val="Hyperlink"/>
          </w:rPr>
          <w:t>melanie.schreiner@psych.uni-goettingen.de</w:t>
        </w:r>
      </w:hyperlink>
    </w:p>
    <w:p w14:paraId="4D1F68AC" w14:textId="77777777" w:rsidR="007E34BB" w:rsidRDefault="00000000">
      <w:pPr>
        <w:pStyle w:val="h1-pagebreak"/>
      </w:pPr>
      <w:r>
        <w:lastRenderedPageBreak/>
        <w:t>Abstract</w:t>
      </w:r>
    </w:p>
    <w:p w14:paraId="48FF6DDE" w14:textId="77777777" w:rsidR="007E34BB" w:rsidRDefault="00000000">
      <w:pPr>
        <w:pStyle w:val="BodyText"/>
      </w:pPr>
      <w: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over adult-directed speech in a large sample (</w:t>
      </w:r>
      <w:r>
        <w:rPr>
          <w:i/>
          <w:iCs/>
        </w:rPr>
        <w:t>N</w:t>
      </w:r>
      <w:r>
        <w:t xml:space="preserve">=158) in the context of the ManyBabies1 collaborative research project (Frank et al., 2017; ManyBabies Consortium, 2020). Labs were asked to bring in participating infants for a second appointment retesting infants on their preference for infant-directed speech. This approach allowed us to estimate test-retest reliability across three different methods used to investigate preferential listening in infancy: the head-turn preference procedure, central fixation, and eye-tracking. Overall, we found no consistent evidence of test-retest reliability in measures of infants’ speech preference (overall </w:t>
      </w:r>
      <w:r>
        <w:rPr>
          <w:i/>
          <w:iCs/>
        </w:rPr>
        <w:t>r</w:t>
      </w:r>
      <w: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0A26C042" w14:textId="77777777" w:rsidR="007E34BB" w:rsidRDefault="00000000">
      <w:pPr>
        <w:pStyle w:val="BodyText"/>
      </w:pPr>
      <w:r>
        <w:rPr>
          <w:i/>
          <w:iCs/>
        </w:rPr>
        <w:t>Keywords:</w:t>
      </w:r>
      <w:r>
        <w:t xml:space="preserve"> language acquisition; speech perception; infant-directed speech; adult-directed speech; test-retest reliability</w:t>
      </w:r>
    </w:p>
    <w:p w14:paraId="0BAA58F4" w14:textId="77777777" w:rsidR="007E34BB" w:rsidRDefault="00000000">
      <w:pPr>
        <w:pStyle w:val="BodyText"/>
      </w:pPr>
      <w:r>
        <w:rPr>
          <w:i/>
          <w:iCs/>
        </w:rPr>
        <w:t>Word count:</w:t>
      </w:r>
      <w:r>
        <w:t xml:space="preserve"> 5252</w:t>
      </w:r>
    </w:p>
    <w:p w14:paraId="21234C3A" w14:textId="77777777" w:rsidR="007E34BB" w:rsidRDefault="00000000">
      <w:pPr>
        <w:pStyle w:val="h1-pagebreak"/>
      </w:pPr>
      <w:r>
        <w:lastRenderedPageBreak/>
        <w:t>Limited evidence of test-retest reliability in infant-directed speech preference in a large preregistered infant experiment</w:t>
      </w:r>
    </w:p>
    <w:p w14:paraId="623020C3" w14:textId="77777777" w:rsidR="007E34BB" w:rsidRDefault="00000000">
      <w:pPr>
        <w:pStyle w:val="BodyText"/>
      </w:pPr>
      <w: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6B65D4EB" w14:textId="77777777" w:rsidR="007E34BB" w:rsidRDefault="00000000">
      <w:pPr>
        <w:pStyle w:val="BodyText"/>
      </w:pPr>
      <w: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3CA633C8" w14:textId="77777777" w:rsidR="007E34BB" w:rsidRDefault="00000000">
      <w:pPr>
        <w:pStyle w:val="BodyText"/>
      </w:pPr>
      <w:r>
        <w:t xml:space="preserve">Within MB1, 67 labs contributed data from 2,329 infants showing that babies generally prefer to listen to IDS over ADS. Nevertheless, the overall effect size of </w:t>
      </w:r>
      <w:r>
        <w:rPr>
          <w:i/>
          <w:iCs/>
        </w:rPr>
        <w:t>d</w:t>
      </w:r>
      <w:r>
        <w:t xml:space="preserve"> = 0.35 was smaller than a previously reported meta-analytic effect size of </w:t>
      </w:r>
      <w:r>
        <w:rPr>
          <w:i/>
          <w:iCs/>
        </w:rPr>
        <w:t>d</w:t>
      </w:r>
      <w: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2022).</w:t>
      </w:r>
    </w:p>
    <w:p w14:paraId="4F1D5599" w14:textId="77777777" w:rsidR="007E34BB" w:rsidRDefault="00000000">
      <w:pPr>
        <w:pStyle w:val="BodyText"/>
      </w:pPr>
      <w: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3369B589" w14:textId="5B2641D9" w:rsidR="007E34BB" w:rsidRDefault="00000000">
      <w:pPr>
        <w:pStyle w:val="BodyText"/>
      </w:pPr>
      <w:r>
        <w:t>Previous attempts to address the reliability of measurements have typically been limited to adult populations (Hedge, Powell, &amp; Sumner, 2018; Oliveira, Hayiou-Thomas, &amp; Henderson, 2023), or have been conducted with small sample sizes (e.g., Colombo, Mitchell, &amp; Horowitz, 1988; Houston, Horn, Qi, Ting, &amp; Gao, 2007). For example, Houston et al. (2007) tested 10 9-month-old infants’ speech discrimination in a visual habituation procedure in two test sessions 1-3 days apart and found a large correlation (</w:t>
      </w:r>
      <w:r>
        <w:rPr>
          <w:i/>
          <w:iCs/>
        </w:rPr>
        <w:t>r</w:t>
      </w:r>
      <w:r>
        <w:t xml:space="preserve"> = .7). These data were subsequently included in a much larger systematic investigation of test-retest reliability in infant speech perception (Cristia, Seidl, Singh, &amp; Houston, 2016). Cristia et al. (2016) analyzed 13 different experiments assessing test-retest reliability in infant speech perception tasks, with the retest session occurring 0-18 days after the first session. The experiments were conducted at three different labs with different implementations of the individual studies. Hence, it was only after completed data collection that the data was pooled together by the different labs revealing potential confounds. Nevertheless, the results showed that reliability was extremely variable across the different experiments and labs and low overall (meta-analytic </w:t>
      </w:r>
      <w:r>
        <w:rPr>
          <w:i/>
          <w:iCs/>
        </w:rPr>
        <w:t>r</w:t>
      </w:r>
      <w:r>
        <w:t xml:space="preserve"> = .07). In sum, there remains limited evidence and considerable uncertainty about the test-retest reliability of infant looking time measures.</w:t>
      </w:r>
    </w:p>
    <w:p w14:paraId="79661245" w14:textId="77777777" w:rsidR="007E34BB" w:rsidRDefault="00000000">
      <w:pPr>
        <w:pStyle w:val="BodyText"/>
      </w:pPr>
      <w:r>
        <w:lastRenderedPageBreak/>
        <w:t>Against this background, the current study investigated test-retest reliability of infants’ performance in a speech preference task. Within MB1, a multi-lab collaboration, we examined whether infants’ preferential listening behavior to IDS and ADS is reliable across two different test sessions. By collecting data from multiple labs, we were able to conduct a preregistered, large-scale analysis of test-retest reliability within a standardized looking-time task that yields reliable condition effects in infants. In addition to assessing overall test-retest reliability, we also planned to investigate the influence of several potential moderators on the reliability of IDS preference: the experimental method, infants’ age and linguistic background, and the time between test sessions.</w:t>
      </w:r>
    </w:p>
    <w:p w14:paraId="5BD7E889" w14:textId="77777777" w:rsidR="007E34BB" w:rsidRDefault="00000000">
      <w:pPr>
        <w:pStyle w:val="BodyText"/>
      </w:pPr>
      <w:r>
        <w:t xml:space="preserve">One main moderator analysis of interest was whether there were any differences in test-retest reliability between three widely used methods: central fixation (CF), eye-tracking (ET), and the head-turn preference procedure (HPP). Exploring differences in CF, ET, and HPP, Junge et al. (2020) provided experimental and meta-analytic evidence in favor of using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test-retest reliability when testing infants’ prosodic preferences using the HPP method across three testing sessions, each 7-8 days apart on average. It remains an open question whether the same measures that produce larger effect sizes </w:t>
      </w:r>
      <w:r>
        <w:lastRenderedPageBreak/>
        <w:t>at the group-level also have higher test-retest reliability for individual infants (Byers-Heinlein et al., 2022). In the current study, we therefore assessed whether HPP yields higher test-retest reliability compared to CF and ET in looking-time measures of IDS preference.</w:t>
      </w:r>
    </w:p>
    <w:p w14:paraId="0500B933" w14:textId="77777777" w:rsidR="007E34BB" w:rsidRDefault="00000000">
      <w:pPr>
        <w:pStyle w:val="BodyText"/>
      </w:pPr>
      <w:r>
        <w:t>In our second set of moderator analyses, we aimed to address whether characteristics of the infant, specifically their age and linguistic background, were associated with differences in test-retest reliability. In MB1, older infants yielded larger effect sizes. Given that older infants have had more linguistic experience, we predicted that their preference may be more stable than that of younger infants. Infants also varied with respect to their linguistic background. All infants were tested using a North American English (hereafter, NAE) stimulus set, which was either their native or non-native language. We predicted that infants for whom NAE was not their native language — and who therefore had little or no experience with NAE — would demonstrate more variable and less reliable looking behavior than English-learning infants. Finally, we assessed whether time between test and retest influenced the reliability of the preference measure. Specifically, we investigated whether test-retest reliability decreased for participants with longer durations between their first and second test session.</w:t>
      </w:r>
    </w:p>
    <w:p w14:paraId="07CD7C73" w14:textId="77777777" w:rsidR="007E34BB" w:rsidRDefault="00000000">
      <w:pPr>
        <w:pStyle w:val="Heading1"/>
      </w:pPr>
      <w:bookmarkStart w:id="0" w:name="method"/>
      <w:r>
        <w:t>Method</w:t>
      </w:r>
    </w:p>
    <w:p w14:paraId="712BED9D" w14:textId="77777777" w:rsidR="007E34BB" w:rsidRDefault="00000000">
      <w:pPr>
        <w:pStyle w:val="Heading2"/>
      </w:pPr>
      <w:bookmarkStart w:id="1" w:name="preregistration"/>
      <w:r>
        <w:t>Preregistration</w:t>
      </w:r>
    </w:p>
    <w:p w14:paraId="3D4795D3" w14:textId="77777777" w:rsidR="007E34BB" w:rsidRDefault="00000000">
      <w:pPr>
        <w:pStyle w:val="FirstParagraph"/>
      </w:pPr>
      <w:r>
        <w:t>We preregistered the current study on the Open Science Framework (</w:t>
      </w:r>
      <w:hyperlink r:id="rId11">
        <w:r>
          <w:rPr>
            <w:rStyle w:val="Hyperlink"/>
          </w:rPr>
          <w:t>https://osf.io/v5f8t</w:t>
        </w:r>
      </w:hyperlink>
      <w:r>
        <w:t>). Section S1 in the Supplementary Materials contains additional notes on the preregistration decisions and any deviations from the preregistered analytic plan.</w:t>
      </w:r>
    </w:p>
    <w:p w14:paraId="7E4B87CE" w14:textId="77777777" w:rsidR="007E34BB" w:rsidRDefault="00000000">
      <w:pPr>
        <w:pStyle w:val="Heading2"/>
      </w:pPr>
      <w:bookmarkStart w:id="2" w:name="data-collection"/>
      <w:bookmarkEnd w:id="1"/>
      <w:r>
        <w:lastRenderedPageBreak/>
        <w:t>Data Collection</w:t>
      </w:r>
    </w:p>
    <w:p w14:paraId="32A5E6F8" w14:textId="77777777" w:rsidR="007E34BB" w:rsidRDefault="00000000">
      <w:pPr>
        <w:pStyle w:val="FirstParagraph"/>
      </w:pPr>
      <w:r>
        <w:t>A call was issued to all labs participating in the original MB1 study on January 29th,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219A789C" w14:textId="77777777" w:rsidR="007E34BB" w:rsidRDefault="00000000">
      <w:pPr>
        <w:pStyle w:val="Heading2"/>
      </w:pPr>
      <w:bookmarkStart w:id="3" w:name="participants"/>
      <w:bookmarkEnd w:id="2"/>
      <w:r>
        <w:t>Participants</w:t>
      </w:r>
    </w:p>
    <w:p w14:paraId="3E11BB35" w14:textId="77777777" w:rsidR="007E34BB" w:rsidRDefault="00000000">
      <w:pPr>
        <w:pStyle w:val="FirstParagraph"/>
      </w:pPr>
      <w:r>
        <w:t>Contributing labs were asked to recruit monolingual participants between the ages of 6 to 12 months. If participating labs could not commit to test either of these age groups, they were also allowed to recruit participants from the youngest age group of 3- to 6-month-olds and/or the oldest age group of 12- to 15-month-olds. Labs were asked to contribute half (</w:t>
      </w:r>
      <w:r>
        <w:rPr>
          <w:i/>
          <w:iCs/>
        </w:rPr>
        <w:t>n</w:t>
      </w:r>
      <w:r>
        <w:t>=16) or full samples (</w:t>
      </w:r>
      <w:r>
        <w:rPr>
          <w:i/>
          <w:iCs/>
        </w:rPr>
        <w:t>n</w:t>
      </w:r>
      <w:r>
        <w:t>=32), however, a lab’s data was included in the study regardless of the number of included infants. The study was approved by each lab’s respective ethics committee and parental consent was obtained for each infant prior to participation in the study.</w:t>
      </w:r>
    </w:p>
    <w:p w14:paraId="4947C57B" w14:textId="77777777" w:rsidR="007E34BB" w:rsidRDefault="00000000">
      <w:pPr>
        <w:pStyle w:val="BodyText"/>
      </w:pPr>
      <w:r>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22 additional participants (see Data exclusion section for details). The mean age of infants included in the study was 245 days (approximately 8.06 months; range: 108 – 373 days).</w:t>
      </w:r>
    </w:p>
    <w:p w14:paraId="1D40411A" w14:textId="6C5249C6" w:rsidR="007E34BB" w:rsidRDefault="00000000" w:rsidP="00975F7E">
      <w:pPr>
        <w:pStyle w:val="Heading2"/>
      </w:pPr>
      <w:bookmarkStart w:id="4" w:name="materials"/>
      <w:bookmarkEnd w:id="3"/>
      <w:r>
        <w:lastRenderedPageBreak/>
        <w:t>Materials</w:t>
      </w:r>
      <w:bookmarkStart w:id="5" w:name="visual-stimuli."/>
    </w:p>
    <w:p w14:paraId="4E42C461" w14:textId="78B7ADD2" w:rsidR="007E34BB" w:rsidRDefault="00975F7E" w:rsidP="00975F7E">
      <w:pPr>
        <w:pStyle w:val="FirstParagraph"/>
      </w:pPr>
      <w:r w:rsidRPr="00975F7E">
        <w:rPr>
          <w:b/>
          <w:bCs/>
        </w:rPr>
        <w:t xml:space="preserve">Visual </w:t>
      </w:r>
      <w:r>
        <w:rPr>
          <w:b/>
          <w:bCs/>
        </w:rPr>
        <w:t>s</w:t>
      </w:r>
      <w:r w:rsidRPr="00975F7E">
        <w:rPr>
          <w:b/>
          <w:bCs/>
        </w:rPr>
        <w:t>timuli.</w:t>
      </w:r>
      <w:r>
        <w:t xml:space="preserve"> The visual stimuli and instructions were identical to MB1. For the CF paradigm and ET, labs used a multicolored static checkerboard as the fixation stimulus as well as a multicolored moving circle with a ringing sound as an attention-getter between trials. For the HPP method, labs used their standard procedure, as in MB1.</w:t>
      </w:r>
      <w:bookmarkStart w:id="6" w:name="auditory-stimuli."/>
      <w:bookmarkEnd w:id="5"/>
    </w:p>
    <w:p w14:paraId="7DD1CC10" w14:textId="329C3B8E" w:rsidR="007E34BB" w:rsidRDefault="00975F7E" w:rsidP="00975F7E">
      <w:pPr>
        <w:pStyle w:val="FirstParagraph"/>
      </w:pPr>
      <w:r>
        <w:rPr>
          <w:b/>
          <w:bCs/>
        </w:rPr>
        <w:t>Auditory</w:t>
      </w:r>
      <w:r w:rsidRPr="00975F7E">
        <w:rPr>
          <w:b/>
          <w:bCs/>
        </w:rPr>
        <w:t xml:space="preserve"> </w:t>
      </w:r>
      <w:r>
        <w:rPr>
          <w:b/>
          <w:bCs/>
        </w:rPr>
        <w:t>s</w:t>
      </w:r>
      <w:r w:rsidRPr="00975F7E">
        <w:rPr>
          <w:b/>
          <w:bCs/>
        </w:rPr>
        <w:t>timuli.</w:t>
      </w:r>
      <w:r>
        <w:t xml:space="preserve"> 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 second set of naturalistic IDS and ADS recordings of mothers either talking to their infant or to an experimenter was created for the retest session by reversing the order of clips within each sequence of the original study. This resulted in eight reordered sequences of natural IDS and eight reordered sequences of natural ADS with a length of 18 seconds each. Average looking times in MB1 were always lower than 9s per trial, even for the youngest children on the earliest trials (the group who looked the longest on average), so most children in MB1 did not hear the second half of most trials. Thus, by reversing the order, we had a perfectly matched </w:t>
      </w:r>
      <w:r>
        <w:lastRenderedPageBreak/>
        <w:t>stimulus set that was relatively unfamiliar to most infants. The disadvantage of this design was that infants who looked longer might be more likely to hear a familiar clip heard in the previous session.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 In addition to the 16 reversed-order IDS and ADS speech stimuli, we used the identical training stimuli of piano music from MB1.</w:t>
      </w:r>
      <w:bookmarkStart w:id="7" w:name="procedure."/>
      <w:bookmarkEnd w:id="6"/>
    </w:p>
    <w:p w14:paraId="748E85C2" w14:textId="15C909A6" w:rsidR="007E34BB" w:rsidRDefault="00975F7E">
      <w:pPr>
        <w:pStyle w:val="FirstParagraph"/>
      </w:pPr>
      <w:r w:rsidRPr="00975F7E">
        <w:rPr>
          <w:b/>
          <w:bCs/>
        </w:rPr>
        <w:t>Procedure.</w:t>
      </w:r>
      <w:r>
        <w:t xml:space="preserve"> 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Pr>
          <w:i/>
          <w:iCs/>
        </w:rPr>
        <w:t>n</w:t>
      </w:r>
      <w:r>
        <w:t xml:space="preserve"> = 3). The mean number of days between test and retest was 10 (range: 1 - 49).</w:t>
      </w:r>
    </w:p>
    <w:p w14:paraId="2E75247F" w14:textId="5C83D6FB" w:rsidR="007E34BB" w:rsidRDefault="00000000" w:rsidP="00975F7E">
      <w:pPr>
        <w:pStyle w:val="BodyText"/>
      </w:pPr>
      <w: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All Labs using CF or HPP had infant-controlled trial length whereas labs using ET had fixed trial length. The online coding experimenter and the parent listened to music masked with the stimuli of the study via noise-cancelling headphones. If the experimenter was in an adjacent room separate from the testing location, listening to masking music was optional for the experimenter.</w:t>
      </w:r>
      <w:bookmarkStart w:id="8" w:name="data-exclusion."/>
      <w:bookmarkEnd w:id="7"/>
    </w:p>
    <w:p w14:paraId="5F05D994" w14:textId="5D019CE0" w:rsidR="007E34BB" w:rsidRDefault="00975F7E">
      <w:pPr>
        <w:pStyle w:val="FirstParagraph"/>
      </w:pPr>
      <w:r w:rsidRPr="00975F7E">
        <w:rPr>
          <w:b/>
          <w:bCs/>
        </w:rPr>
        <w:t>Data exclusion.</w:t>
      </w:r>
      <w:r>
        <w:t xml:space="preserve"> In total, 22 participants were excluded from the analysis. 4 participants were excluded for being preterm (defined as a gestation time of less than 37 weeks). 6 </w:t>
      </w:r>
      <w:r>
        <w:lastRenderedPageBreak/>
        <w:t>participants were excluded due to session errors involving an experimenter error (e.g., inaccurate coding or presentation of retest stimuli on the first test session). Individual trials were excluded if they were marked as trial errors (5.45% of remaining trials), i.e., if the infant was reported as fussy, an experimental or equipment error occurred, or there was parental interference during the task (e.g., if the parent spoke with the infant during the trial). Trials were also excluded if the minimum looking time of 2 s was not met (12.60% of the remaining trials). If a participant was unable to contribute at least one IDS and one ADS trial for either test or retest after trial-level exclusions, all data of that participant was excluded from the test-retest analyses (12 additional participants).</w:t>
      </w:r>
    </w:p>
    <w:p w14:paraId="7E78DA81" w14:textId="77777777" w:rsidR="007E34BB" w:rsidRDefault="00000000">
      <w:pPr>
        <w:pStyle w:val="Heading1"/>
      </w:pPr>
      <w:bookmarkStart w:id="9" w:name="results"/>
      <w:bookmarkEnd w:id="0"/>
      <w:bookmarkEnd w:id="4"/>
      <w:bookmarkEnd w:id="8"/>
      <w:r>
        <w:t>Results</w:t>
      </w:r>
    </w:p>
    <w:p w14:paraId="0F5012A9" w14:textId="77777777" w:rsidR="007E34BB" w:rsidRDefault="00000000">
      <w:pPr>
        <w:pStyle w:val="Heading2"/>
      </w:pPr>
      <w:bookmarkStart w:id="10" w:name="ids-preference"/>
      <w:r>
        <w:t>IDS preference</w:t>
      </w:r>
    </w:p>
    <w:p w14:paraId="0DE88B1B" w14:textId="77777777" w:rsidR="007E34BB" w:rsidRDefault="00000000">
      <w:pPr>
        <w:pStyle w:val="FirstParagraph"/>
      </w:pPr>
      <w:r>
        <w:t xml:space="preserve">First, we conducted confirmatory analyses examining infants’ preference for IDS in both sessions. Two-samples t-tests comparing the difference in average looking time between IDS and ADS to zero revealed that infants showed a preference of IDS over ADS in Session 1,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6.47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Session 2,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4.19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replicating the main finding from MB1 (Table 2; see Supplementary Materials S5 for robustness analyses using alternative dependent measures).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There was no significant difference in the magnitude of infants’ preference between the two sessions, </w:t>
      </w:r>
      <m:oMath>
        <m:r>
          <w:rPr>
            <w:rFonts w:ascii="Cambria Math" w:hAnsi="Cambria Math"/>
          </w:rPr>
          <m:t>β</m:t>
        </m:r>
      </m:oMath>
      <w:r>
        <w:t xml:space="preserve">=-0.30, </w:t>
      </w:r>
      <w:r>
        <w:rPr>
          <w:i/>
          <w:iCs/>
        </w:rPr>
        <w:t>SE</w:t>
      </w:r>
      <w:r>
        <w:t xml:space="preserve">=0.24, </w:t>
      </w:r>
      <w:r>
        <w:rPr>
          <w:i/>
          <w:iCs/>
        </w:rPr>
        <w:t>p</w:t>
      </w:r>
      <w:r>
        <w:t>=.208.</w:t>
      </w:r>
    </w:p>
    <w:p w14:paraId="6E816A9B" w14:textId="77777777" w:rsidR="007E34BB" w:rsidRDefault="00000000">
      <w:pPr>
        <w:pStyle w:val="Heading2"/>
      </w:pPr>
      <w:bookmarkStart w:id="11" w:name="reliability"/>
      <w:bookmarkEnd w:id="10"/>
      <w:r>
        <w:lastRenderedPageBreak/>
        <w:t>Reliability</w:t>
      </w:r>
    </w:p>
    <w:p w14:paraId="23CEB69E" w14:textId="77777777" w:rsidR="00582115" w:rsidRDefault="00000000" w:rsidP="00582115">
      <w:pPr>
        <w:pStyle w:val="BodyText"/>
      </w:pPr>
      <w:r>
        <w:t xml:space="preserve">We assessed test-retest reliability in two planned, confirmatory analyses.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rPr>
          <m:t>r</m:t>
        </m:r>
        <m:r>
          <m:rPr>
            <m:sty m:val="p"/>
          </m:rPr>
          <w:rPr>
            <w:rFonts w:ascii="Cambria Math" w:hAnsi="Cambria Math"/>
          </w:rPr>
          <m:t>=</m:t>
        </m:r>
        <m:r>
          <w:rPr>
            <w:rFonts w:ascii="Cambria Math" w:hAnsi="Cambria Math"/>
          </w:rPr>
          <m:t>.09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.25</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1.19</m:t>
        </m:r>
      </m:oMath>
      <w:r>
        <w:t xml:space="preserve">, </w:t>
      </w:r>
      <m:oMath>
        <m:r>
          <w:rPr>
            <w:rFonts w:ascii="Cambria Math" w:hAnsi="Cambria Math"/>
          </w:rPr>
          <m:t>p</m:t>
        </m:r>
        <m:r>
          <m:rPr>
            <m:sty m:val="p"/>
          </m:rPr>
          <w:rPr>
            <w:rFonts w:ascii="Cambria Math" w:hAnsi="Cambria Math"/>
          </w:rPr>
          <m:t>=</m:t>
        </m:r>
        <m:r>
          <w:rPr>
            <w:rFonts w:ascii="Cambria Math" w:hAnsi="Cambria Math"/>
          </w:rPr>
          <m:t>.237</m:t>
        </m:r>
      </m:oMath>
      <w:r>
        <w:t>. Moreover, no significant correlations emerged in each sample considered separately (Figure 1; see Supplementary Materials S3 for a meta-analytic approach). 41.77% of the infants reversed their direction of preference for IDS versus ADS from the test to the retest session (see Supplementary Materials S7 for additional analyses of infants’ patterns of preferential looking across sessions).</w:t>
      </w:r>
    </w:p>
    <w:p w14:paraId="41844EB0" w14:textId="4C4093C7" w:rsidR="007E34BB" w:rsidRDefault="00000000" w:rsidP="00582115">
      <w:pPr>
        <w:pStyle w:val="BodyText"/>
      </w:pPr>
      <w:r>
        <w:t xml:space="preserve">To investigate the test-retest reliability of each specific method, we computed Pearson correlation coefficients and the same mixed-effects model described above for HPP, CF, and ET separately (Table 4) in additional exploratory analyses. None of the three methods showed evidence of test-retest reliability. Neither the Pearson correlation coefficients nor the coefficients of the multilevel analysis were significant, all </w:t>
      </w:r>
      <w:r>
        <w:rPr>
          <w:i/>
          <w:iCs/>
        </w:rPr>
        <w:t>p</w:t>
      </w:r>
      <w:r>
        <w:t xml:space="preserve">-values &gt; 0.12. In planned secondary analyses, we found that experimental method, time between test sessions, participant age, and language background did not moderate the relationship between IDS preference in Session 1 and Session 2 </w:t>
      </w:r>
      <w:r>
        <w:lastRenderedPageBreak/>
        <w:t>(see Supplementary Materials S2). Taken together, we find no significant evidence of test-retest reliability across our preregistered analyses.</w:t>
      </w:r>
    </w:p>
    <w:p w14:paraId="0BCB8DE8" w14:textId="77777777" w:rsidR="007E34BB" w:rsidRDefault="00000000">
      <w:pPr>
        <w:pStyle w:val="Heading2"/>
      </w:pPr>
      <w:bookmarkStart w:id="12" w:name="X2446438989f3a675e0b58b65fc9b821f159857e"/>
      <w:bookmarkEnd w:id="11"/>
      <w:r>
        <w:t>Exploratory analyses with different inclusion criteria</w:t>
      </w:r>
    </w:p>
    <w:p w14:paraId="1B0FBA33" w14:textId="77777777" w:rsidR="007E34BB" w:rsidRDefault="00000000">
      <w:pPr>
        <w:pStyle w:val="FirstParagraph"/>
      </w:pPr>
      <w: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Pr>
          <w:i/>
          <w:iCs/>
        </w:rPr>
        <w:t>r</w:t>
      </w:r>
      <w:r>
        <w:t xml:space="preserve"> = 0.07 to </w:t>
      </w:r>
      <w:r>
        <w:rPr>
          <w:i/>
          <w:iCs/>
        </w:rPr>
        <w:t>r</w:t>
      </w:r>
      <w:r>
        <w:t xml:space="preserve"> = 0.34 (Figure 2). In part due to a decrease in sample size, only one of these correlations was statistically significant (when requiring six trial pairs): two valid trial pairs, </w:t>
      </w:r>
      <m:oMath>
        <m:r>
          <w:rPr>
            <w:rFonts w:ascii="Cambria Math" w:hAnsi="Cambria Math"/>
          </w:rPr>
          <m:t>t</m:t>
        </m:r>
        <m:d>
          <m:dPr>
            <m:ctrlPr>
              <w:rPr>
                <w:rFonts w:ascii="Cambria Math" w:hAnsi="Cambria Math"/>
              </w:rPr>
            </m:ctrlPr>
          </m:dPr>
          <m:e>
            <m:r>
              <w:rPr>
                <w:rFonts w:ascii="Cambria Math" w:hAnsi="Cambria Math"/>
              </w:rPr>
              <m:t>152</m:t>
            </m:r>
          </m:e>
        </m:d>
        <m:r>
          <m:rPr>
            <m:sty m:val="p"/>
          </m:rPr>
          <w:rPr>
            <w:rFonts w:ascii="Cambria Math" w:hAnsi="Cambria Math"/>
          </w:rPr>
          <m:t>=</m:t>
        </m:r>
        <m:r>
          <w:rPr>
            <w:rFonts w:ascii="Cambria Math" w:hAnsi="Cambria Math"/>
          </w:rPr>
          <m:t>0.90</m:t>
        </m:r>
      </m:oMath>
      <w:r>
        <w:t xml:space="preserve">, </w:t>
      </w:r>
      <m:oMath>
        <m:r>
          <w:rPr>
            <w:rFonts w:ascii="Cambria Math" w:hAnsi="Cambria Math"/>
          </w:rPr>
          <m:t>p</m:t>
        </m:r>
        <m:r>
          <m:rPr>
            <m:sty m:val="p"/>
          </m:rPr>
          <w:rPr>
            <w:rFonts w:ascii="Cambria Math" w:hAnsi="Cambria Math"/>
          </w:rPr>
          <m:t>=</m:t>
        </m:r>
        <m:r>
          <w:rPr>
            <w:rFonts w:ascii="Cambria Math" w:hAnsi="Cambria Math"/>
          </w:rPr>
          <m:t>.367</m:t>
        </m:r>
      </m:oMath>
      <w:r>
        <w:t xml:space="preserve">; four valid trial pairs, </w:t>
      </w:r>
      <m:oMath>
        <m:r>
          <w:rPr>
            <w:rFonts w:ascii="Cambria Math" w:hAnsi="Cambria Math"/>
          </w:rPr>
          <m:t>t</m:t>
        </m:r>
        <m:d>
          <m:dPr>
            <m:ctrlPr>
              <w:rPr>
                <w:rFonts w:ascii="Cambria Math" w:hAnsi="Cambria Math"/>
              </w:rPr>
            </m:ctrlPr>
          </m:dPr>
          <m:e>
            <m:r>
              <w:rPr>
                <w:rFonts w:ascii="Cambria Math" w:hAnsi="Cambria Math"/>
              </w:rPr>
              <m:t>143</m:t>
            </m:r>
          </m:e>
        </m:d>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.306</m:t>
        </m:r>
      </m:oMath>
      <w:r>
        <w:t xml:space="preserve">; six valid trial pairs, </w:t>
      </w:r>
      <m:oMath>
        <m:r>
          <w:rPr>
            <w:rFonts w:ascii="Cambria Math" w:hAnsi="Cambria Math"/>
          </w:rPr>
          <m:t>t</m:t>
        </m:r>
        <m:d>
          <m:dPr>
            <m:ctrlPr>
              <w:rPr>
                <w:rFonts w:ascii="Cambria Math" w:hAnsi="Cambria Math"/>
              </w:rPr>
            </m:ctrlPr>
          </m:dPr>
          <m:e>
            <m:r>
              <w:rPr>
                <w:rFonts w:ascii="Cambria Math" w:hAnsi="Cambria Math"/>
              </w:rPr>
              <m:t>98</m:t>
            </m:r>
          </m:e>
        </m:d>
        <m:r>
          <m:rPr>
            <m:sty m:val="p"/>
          </m:rPr>
          <w:rPr>
            <w:rFonts w:ascii="Cambria Math" w:hAnsi="Cambria Math"/>
          </w:rPr>
          <m:t>=</m:t>
        </m:r>
        <m:r>
          <w:rPr>
            <w:rFonts w:ascii="Cambria Math" w:hAnsi="Cambria Math"/>
          </w:rPr>
          <m:t>2.23</m:t>
        </m:r>
      </m:oMath>
      <w:r>
        <w:t xml:space="preserve">, </w:t>
      </w:r>
      <m:oMath>
        <m:r>
          <w:rPr>
            <w:rFonts w:ascii="Cambria Math" w:hAnsi="Cambria Math"/>
          </w:rPr>
          <m:t>p</m:t>
        </m:r>
        <m:r>
          <m:rPr>
            <m:sty m:val="p"/>
          </m:rPr>
          <w:rPr>
            <w:rFonts w:ascii="Cambria Math" w:hAnsi="Cambria Math"/>
          </w:rPr>
          <m:t>=</m:t>
        </m:r>
        <m:r>
          <w:rPr>
            <w:rFonts w:ascii="Cambria Math" w:hAnsi="Cambria Math"/>
          </w:rPr>
          <m:t>.028</m:t>
        </m:r>
      </m:oMath>
      <w:r>
        <w:t xml:space="preserve">; eight valid trial pairs — all trials in both sessions — </w:t>
      </w:r>
      <m:oMath>
        <m:r>
          <w:rPr>
            <w:rFonts w:ascii="Cambria Math" w:hAnsi="Cambria Math"/>
          </w:rPr>
          <m:t>t</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1.68</m:t>
        </m:r>
      </m:oMath>
      <w:r>
        <w:t xml:space="preserve">, </w:t>
      </w:r>
      <m:oMath>
        <m:r>
          <w:rPr>
            <w:rFonts w:ascii="Cambria Math" w:hAnsi="Cambria Math"/>
          </w:rPr>
          <m:t>p</m:t>
        </m:r>
        <m:r>
          <m:rPr>
            <m:sty m:val="p"/>
          </m:rPr>
          <w:rPr>
            <w:rFonts w:ascii="Cambria Math" w:hAnsi="Cambria Math"/>
          </w:rPr>
          <m:t>=</m:t>
        </m:r>
        <m:r>
          <w:rPr>
            <w:rFonts w:ascii="Cambria Math" w:hAnsi="Cambria Math"/>
          </w:rPr>
          <m:t>.108</m:t>
        </m:r>
      </m:oMath>
      <w:r>
        <w:t>. The analyses provide tentative evidence that stricter inclusion criteria may lead to higher test-retest reliability, but at the cost of substantial decreases in sample size (see Supplementary Materials S4 and S6 for additional analyses, including moderator analyses using a more restricted sample).</w:t>
      </w:r>
    </w:p>
    <w:p w14:paraId="0708B8F1" w14:textId="77777777" w:rsidR="007E34BB" w:rsidRDefault="00000000">
      <w:pPr>
        <w:pStyle w:val="Heading2"/>
      </w:pPr>
      <w:bookmarkStart w:id="13" w:name="Xb6f0e4ed1ded3e11c02f5760fe33aae658c51cb"/>
      <w:bookmarkEnd w:id="12"/>
      <w:r>
        <w:t xml:space="preserve">Correlations between sessions for number of trials contributed and overall looking </w:t>
      </w:r>
      <w:proofErr w:type="gramStart"/>
      <w:r>
        <w:t>time</w:t>
      </w:r>
      <w:proofErr w:type="gramEnd"/>
    </w:p>
    <w:p w14:paraId="74ABAB92" w14:textId="77777777" w:rsidR="007E34BB" w:rsidRDefault="00000000">
      <w:pPr>
        <w:pStyle w:val="FirstParagraph"/>
      </w:pPr>
      <w:r>
        <w:t>In exploratory analyses, we also investigated whether there were stable individual differences in (a) the number of trials an infant contributed across the two test sessions and (b) infants’ overall looking times.</w:t>
      </w:r>
    </w:p>
    <w:p w14:paraId="10F97EA8" w14:textId="2E104A2F" w:rsidR="007E34BB" w:rsidRDefault="00582115" w:rsidP="00582115">
      <w:pPr>
        <w:pStyle w:val="FirstParagraph"/>
      </w:pPr>
      <w:bookmarkStart w:id="14" w:name="number-of-trials-contributed"/>
      <w:r w:rsidRPr="00582115">
        <w:rPr>
          <w:b/>
          <w:bCs/>
        </w:rPr>
        <w:lastRenderedPageBreak/>
        <w:t>Number of trials contributed.</w:t>
      </w:r>
      <w:r>
        <w:t xml:space="preserve"> We found a strong positive correlation between number of trials contributed during the first and the second session, </w:t>
      </w:r>
      <m:oMath>
        <m:r>
          <w:rPr>
            <w:rFonts w:ascii="Cambria Math" w:hAnsi="Cambria Math"/>
          </w:rPr>
          <m:t>r</m:t>
        </m:r>
        <m:r>
          <m:rPr>
            <m:sty m:val="p"/>
          </m:rPr>
          <w:rPr>
            <w:rFonts w:ascii="Cambria Math" w:hAnsi="Cambria Math"/>
          </w:rPr>
          <m:t>=</m:t>
        </m:r>
        <m:r>
          <w:rPr>
            <w:rFonts w:ascii="Cambria Math" w:hAnsi="Cambria Math"/>
          </w:rPr>
          <m:t>.58</m:t>
        </m:r>
      </m:oMath>
      <w:r>
        <w:t xml:space="preserve">, 95% CI </w:t>
      </w:r>
      <m:oMath>
        <m:d>
          <m:dPr>
            <m:begChr m:val="["/>
            <m:endChr m:val="]"/>
            <m:ctrlPr>
              <w:rPr>
                <w:rFonts w:ascii="Cambria Math" w:hAnsi="Cambria Math"/>
              </w:rPr>
            </m:ctrlPr>
          </m:dPr>
          <m:e>
            <m:r>
              <w:rPr>
                <w:rFonts w:ascii="Cambria Math" w:hAnsi="Cambria Math"/>
              </w:rPr>
              <m:t>.47</m:t>
            </m:r>
            <m:r>
              <m:rPr>
                <m:sty m:val="p"/>
              </m:rPr>
              <w:rPr>
                <w:rFonts w:ascii="Cambria Math" w:hAnsi="Cambria Math"/>
              </w:rPr>
              <m:t>,</m:t>
            </m:r>
            <m:r>
              <w:rPr>
                <w:rFonts w:ascii="Cambria Math" w:hAnsi="Cambria Math"/>
              </w:rPr>
              <m:t>.67</m:t>
            </m:r>
          </m:e>
        </m:d>
      </m:oMath>
      <w:r>
        <w:t xml:space="preserve">, </w:t>
      </w:r>
      <m:oMath>
        <m:r>
          <w:rPr>
            <w:rFonts w:ascii="Cambria Math" w:hAnsi="Cambria Math"/>
          </w:rPr>
          <m:t>t</m:t>
        </m:r>
        <m:d>
          <m:dPr>
            <m:ctrlPr>
              <w:rPr>
                <w:rFonts w:ascii="Cambria Math" w:hAnsi="Cambria Math"/>
              </w:rPr>
            </m:ctrlPr>
          </m:dPr>
          <m:e>
            <m:r>
              <w:rPr>
                <w:rFonts w:ascii="Cambria Math" w:hAnsi="Cambria Math"/>
              </w:rPr>
              <m:t>160</m:t>
            </m:r>
          </m:e>
        </m:d>
        <m:r>
          <m:rPr>
            <m:sty m:val="p"/>
          </m:rPr>
          <w:rPr>
            <w:rFonts w:ascii="Cambria Math" w:hAnsi="Cambria Math"/>
          </w:rPr>
          <m:t>=</m:t>
        </m:r>
        <m:r>
          <w:rPr>
            <w:rFonts w:ascii="Cambria Math" w:hAnsi="Cambria Math"/>
          </w:rPr>
          <m:t>9.00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3A). In other words, if infants contributed a higher number of trials in one session, compared to other infants, they were likely to contribute a higher number of trials in their next session. This finding is consistent with the hypothesis that how attentive infants are throughout an experiment (and hence how many trials they contribute) is a stable individual difference, at least for some infant looking time tasks.</w:t>
      </w:r>
    </w:p>
    <w:p w14:paraId="1F3A98D5" w14:textId="6E018A91" w:rsidR="007E34BB" w:rsidRDefault="00582115">
      <w:pPr>
        <w:pStyle w:val="FirstParagraph"/>
      </w:pPr>
      <w:bookmarkStart w:id="15" w:name="overall-looking-times"/>
      <w:bookmarkEnd w:id="14"/>
      <w:r w:rsidRPr="00582115">
        <w:rPr>
          <w:b/>
          <w:bCs/>
        </w:rPr>
        <w:t>Overall looking times.</w:t>
      </w:r>
      <w:r>
        <w:t xml:space="preserve"> To what extent are participants looking times between the two sessions related? To test this question, we investigated whether participants’ overall looking times — irrespective of condition — were correlated between the first and second session. There was a robust correlation between average looking time in Session 1 and Session 2: infants with longer looking times during their first session also tended to look longer during their second session, </w:t>
      </w:r>
      <m:oMath>
        <m:r>
          <w:rPr>
            <w:rFonts w:ascii="Cambria Math" w:hAnsi="Cambria Math"/>
          </w:rPr>
          <m:t>r</m:t>
        </m:r>
        <m:r>
          <m:rPr>
            <m:sty m:val="p"/>
          </m:rPr>
          <w:rPr>
            <w:rFonts w:ascii="Cambria Math" w:hAnsi="Cambria Math"/>
          </w:rPr>
          <m:t>=</m:t>
        </m:r>
        <m:r>
          <w:rPr>
            <w:rFonts w:ascii="Cambria Math" w:hAnsi="Cambria Math"/>
          </w:rPr>
          <m:t>.45</m:t>
        </m:r>
      </m:oMath>
      <w:r>
        <w:t xml:space="preserve">, 95% CI </w:t>
      </w:r>
      <m:oMath>
        <m:d>
          <m:dPr>
            <m:begChr m:val="["/>
            <m:endChr m:val="]"/>
            <m:ctrlPr>
              <w:rPr>
                <w:rFonts w:ascii="Cambria Math" w:hAnsi="Cambria Math"/>
              </w:rPr>
            </m:ctrlPr>
          </m:dPr>
          <m:e>
            <m:r>
              <w:rPr>
                <w:rFonts w:ascii="Cambria Math" w:hAnsi="Cambria Math"/>
              </w:rPr>
              <m:t>.31</m:t>
            </m:r>
            <m:r>
              <m:rPr>
                <m:sty m:val="p"/>
              </m:rPr>
              <w:rPr>
                <w:rFonts w:ascii="Cambria Math" w:hAnsi="Cambria Math"/>
              </w:rPr>
              <m:t>,</m:t>
            </m:r>
            <m:r>
              <w:rPr>
                <w:rFonts w:ascii="Cambria Math" w:hAnsi="Cambria Math"/>
              </w:rPr>
              <m:t>.57</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6.28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3B). This relationship held even after controlling for number of trials,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0.58</m:t>
            </m:r>
          </m:e>
        </m:d>
      </m:oMath>
      <w:r>
        <w:t xml:space="preserve">, </w:t>
      </w:r>
      <m:oMath>
        <m:r>
          <w:rPr>
            <w:rFonts w:ascii="Cambria Math" w:hAnsi="Cambria Math"/>
          </w:rPr>
          <m:t>t</m:t>
        </m:r>
        <m:d>
          <m:dPr>
            <m:ctrlPr>
              <w:rPr>
                <w:rFonts w:ascii="Cambria Math" w:hAnsi="Cambria Math"/>
              </w:rPr>
            </m:ctrlPr>
          </m:dPr>
          <m:e>
            <m:r>
              <w:rPr>
                <w:rFonts w:ascii="Cambria Math" w:hAnsi="Cambria Math"/>
              </w:rPr>
              <m:t>154</m:t>
            </m:r>
          </m:e>
        </m:d>
        <m:r>
          <m:rPr>
            <m:sty m:val="p"/>
          </m:rPr>
          <w:rPr>
            <w:rFonts w:ascii="Cambria Math" w:hAnsi="Cambria Math"/>
          </w:rPr>
          <m:t>=</m:t>
        </m:r>
        <m:r>
          <w:rPr>
            <w:rFonts w:ascii="Cambria Math" w:hAnsi="Cambria Math"/>
          </w:rPr>
          <m:t>5.52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participants’ average age, </w:t>
      </w:r>
      <m:oMath>
        <m:r>
          <w:rPr>
            <w:rFonts w:ascii="Cambria Math" w:hAnsi="Cambria Math"/>
          </w:rPr>
          <m:t>b</m:t>
        </m:r>
        <m:r>
          <m:rPr>
            <m:sty m:val="p"/>
          </m:rPr>
          <w:rPr>
            <w:rFonts w:ascii="Cambria Math" w:hAnsi="Cambria Math"/>
          </w:rPr>
          <m:t>=</m:t>
        </m:r>
        <m:r>
          <w:rPr>
            <w:rFonts w:ascii="Cambria Math" w:hAnsi="Cambria Math"/>
          </w:rPr>
          <m:t>0.44</m:t>
        </m:r>
      </m:oMath>
      <w:r>
        <w:t xml:space="preserve">, 95% CI </w:t>
      </w:r>
      <m:oMath>
        <m:d>
          <m:dPr>
            <m:begChr m:val="["/>
            <m:endChr m:val="]"/>
            <m:ctrlPr>
              <w:rPr>
                <w:rFonts w:ascii="Cambria Math" w:hAnsi="Cambria Math"/>
              </w:rPr>
            </m:ctrlPr>
          </m:dPr>
          <m:e>
            <m:r>
              <w:rPr>
                <w:rFonts w:ascii="Cambria Math" w:hAnsi="Cambria Math"/>
              </w:rPr>
              <m:t>0.30</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155</m:t>
            </m:r>
          </m:e>
        </m:d>
        <m:r>
          <m:rPr>
            <m:sty m:val="p"/>
          </m:rPr>
          <w:rPr>
            <w:rFonts w:ascii="Cambria Math" w:hAnsi="Cambria Math"/>
          </w:rPr>
          <m:t>=</m:t>
        </m:r>
        <m:r>
          <w:rPr>
            <w:rFonts w:ascii="Cambria Math" w:hAnsi="Cambria Math"/>
          </w:rPr>
          <m:t>6.16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across the two test sessions in linear regression models. Finally, we found similar correlations in average looking time to IDS stimuli in Session 1 and 2, </w:t>
      </w:r>
      <m:oMath>
        <m:r>
          <w:rPr>
            <w:rFonts w:ascii="Cambria Math" w:hAnsi="Cambria Math"/>
          </w:rPr>
          <m:t>r</m:t>
        </m:r>
        <m:r>
          <m:rPr>
            <m:sty m:val="p"/>
          </m:rPr>
          <w:rPr>
            <w:rFonts w:ascii="Cambria Math" w:hAnsi="Cambria Math"/>
          </w:rPr>
          <m:t>=</m:t>
        </m:r>
        <m:r>
          <w:rPr>
            <w:rFonts w:ascii="Cambria Math" w:hAnsi="Cambria Math"/>
          </w:rPr>
          <m:t>.38</m:t>
        </m:r>
      </m:oMath>
      <w:r>
        <w:t xml:space="preserve">, 95% CI </w:t>
      </w:r>
      <m:oMath>
        <m:d>
          <m:dPr>
            <m:begChr m:val="["/>
            <m:endChr m:val="]"/>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ADS stimuli in Session 1 and 2, </w:t>
      </w:r>
      <m:oMath>
        <m:r>
          <w:rPr>
            <w:rFonts w:ascii="Cambria Math" w:hAnsi="Cambria Math"/>
          </w:rPr>
          <m:t>r</m:t>
        </m:r>
        <m:r>
          <m:rPr>
            <m:sty m:val="p"/>
          </m:rPr>
          <w:rPr>
            <w:rFonts w:ascii="Cambria Math" w:hAnsi="Cambria Math"/>
          </w:rPr>
          <m:t>=</m:t>
        </m:r>
        <m:r>
          <w:rPr>
            <w:rFonts w:ascii="Cambria Math" w:hAnsi="Cambria Math"/>
          </w:rPr>
          <m:t>.40</m:t>
        </m:r>
      </m:oMath>
      <w:r>
        <w:t xml:space="preserve">, 95% CI </w:t>
      </w:r>
      <m:oMath>
        <m:d>
          <m:dPr>
            <m:begChr m:val="["/>
            <m:endChr m:val="]"/>
            <m:ctrlPr>
              <w:rPr>
                <w:rFonts w:ascii="Cambria Math" w:hAnsi="Cambria Math"/>
              </w:rPr>
            </m:ctrlPr>
          </m:dPr>
          <m:e>
            <m:r>
              <w:rPr>
                <w:rFonts w:ascii="Cambria Math" w:hAnsi="Cambria Math"/>
              </w:rPr>
              <m:t>.26</m:t>
            </m:r>
            <m:r>
              <m:rPr>
                <m:sty m:val="p"/>
              </m:rPr>
              <w:rPr>
                <w:rFonts w:ascii="Cambria Math" w:hAnsi="Cambria Math"/>
              </w:rPr>
              <m:t>,</m:t>
            </m:r>
            <m:r>
              <w:rPr>
                <w:rFonts w:ascii="Cambria Math" w:hAnsi="Cambria Math"/>
              </w:rPr>
              <m:t>.53</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5.49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3C; see Supplementary Materials S8 and S9 for further details, including an investigation of item-level correlations).</w:t>
      </w:r>
    </w:p>
    <w:p w14:paraId="066402BD" w14:textId="77777777" w:rsidR="007E34BB" w:rsidRDefault="00000000">
      <w:pPr>
        <w:pStyle w:val="Heading1"/>
      </w:pPr>
      <w:bookmarkStart w:id="16" w:name="general-discussion"/>
      <w:bookmarkEnd w:id="9"/>
      <w:bookmarkEnd w:id="13"/>
      <w:bookmarkEnd w:id="15"/>
      <w:r>
        <w:lastRenderedPageBreak/>
        <w:t>General Discussion</w:t>
      </w:r>
    </w:p>
    <w:p w14:paraId="45C9C1DC" w14:textId="77777777" w:rsidR="007E34BB" w:rsidRDefault="00000000">
      <w:pPr>
        <w:pStyle w:val="FirstParagraph"/>
      </w:pPr>
      <w:r>
        <w:t>The current study investigated the test-retest reliability of infants’ preference for IDS over ADS. As a spin-off of the original MB1 project, we tested the IDS preference of infants in two separate test sessions to assess the extent to which their pattern of preference would remain consistent. While we replicated the original effect of infants’ speech preference for IDS over ADS for both the test and retest session on the group-level, we found that infants’ speech preference measures showed no evidence of test-retest reliability across all preregistered analyses. In other words, we were unable to find confirmatory evidence of stable individual differences in infants’ preference for IDS. This finding is consistent with past research suggesting low test-retest reliability in other infant paradigms (Cristia et al., 2016; Marimon &amp; Höhle, 2022).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As a consequence, infant preference measures may be a good approach for capturing group-level phenomena, but may be less appropriate for examining individual differences in development.</w:t>
      </w:r>
    </w:p>
    <w:p w14:paraId="681EED69" w14:textId="77777777" w:rsidR="007E34BB" w:rsidRDefault="00000000">
      <w:pPr>
        <w:pStyle w:val="BodyText"/>
      </w:pPr>
      <w:r>
        <w:t xml:space="preserve">We also found no robust evidence that several hypothesized moderators influenced test-retest reliability. While previous research suggests that HPP may be a more sensitive index of infant preference and speech segmentation abilities (Junge et al., 2020; ManyBabies Consortium, 2020), we found no evidence for higher test-retest reliability for HPP relative to ET and CF. Similarly, our planned analyses found no evidence that the test-retest reliability of IDS preference varied as a function of the time between test sessions, infants’ language background, or infants’ age. The absence of evidence for moderating effects should be treated with caution, given that </w:t>
      </w:r>
      <w:r>
        <w:lastRenderedPageBreak/>
        <w:t>fewer labs contributed to the study than we had anticipated by the time of the preregistration, resulting in limited power to detect interaction effects (see S2.1 for more detail on power considerations). However, these analyses also suggest that the lack of test-retest reliability was not be due to variation across any of our hypothesized moderators.</w:t>
      </w:r>
    </w:p>
    <w:p w14:paraId="0586C2D8" w14:textId="77777777" w:rsidR="007E34BB" w:rsidRDefault="00000000">
      <w:pPr>
        <w:pStyle w:val="BodyText"/>
      </w:pPr>
      <w:r>
        <w:t>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size (24 out of 158 infants) could be included in the final sample. In other words, applying stricter criteria leads to a higher drop-out rate and can dramatically reduce the sample size. In the case of studies in the field of developmental science, where there are many practical constraints on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is likely not random: the number of trials individual infants contributed was highly correlated between test sessions in the current study. Therefore, implementing strict inclusion criteria that result in high drop-out rates can further limit the generalizability of a study. Particularly in the context of turning individual differences measures into diagnostic tools, high drop-out rates have an additional limitation of not being broadly usable.</w:t>
      </w:r>
    </w:p>
    <w:p w14:paraId="1DED88F3" w14:textId="77777777" w:rsidR="007E34BB" w:rsidRDefault="00000000">
      <w:pPr>
        <w:pStyle w:val="BodyText"/>
      </w:pPr>
      <w:r>
        <w:lastRenderedPageBreak/>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 which could become easier with the adoption of online testing methods (Lo, Hermes, Kartushina, Mayor, &amp; Mani, 2023; Scott &amp; Schulz, 2017; Weaver, Zettersten, &amp; Saffran, 2022).</w:t>
      </w:r>
    </w:p>
    <w:p w14:paraId="3CAB99C2" w14:textId="77777777" w:rsidR="007E34BB" w:rsidRDefault="00000000">
      <w:pPr>
        <w:pStyle w:val="BodyText"/>
      </w:pPr>
      <w:r>
        <w:t xml:space="preserve">Even under best-case scenarios focused on infants contributing larger numbers of trials, reliability remained low. For example, when restricting the sample to infants contributing at least six trials in each condition in both sessions, we obtained a correlation of </w:t>
      </w:r>
      <w:r>
        <w:rPr>
          <w:i/>
          <w:iCs/>
        </w:rPr>
        <w:t>r</w:t>
      </w:r>
      <w:r>
        <w:t xml:space="preserve"> = 0.22 and an intra-class correlation coefficient of </w:t>
      </w:r>
      <m:oMath>
        <m:r>
          <w:rPr>
            <w:rFonts w:ascii="Cambria Math" w:hAnsi="Cambria Math"/>
          </w:rPr>
          <m:t>α</m:t>
        </m:r>
      </m:oMath>
      <w:r>
        <w:t xml:space="preserve"> = 0.36. As Byers-Heinlein et al. (2022) outline, low measurement reliability severely restricts power for detecting relationships between measures. Using the same approach as Byers-Heinlein et al. (2022), we estimate that over 682 infants would be needed to have at least 80% power to observe a true correlation of </w:t>
      </w:r>
      <w:r>
        <w:rPr>
          <w:i/>
          <w:iCs/>
        </w:rPr>
        <w:t>r</w:t>
      </w:r>
      <w:r>
        <w:t xml:space="preserve"> = .3 between two measurements, assuming an intra-class correlation coefficient as large as that observed in our restricted sample (</w:t>
      </w:r>
      <m:oMath>
        <m:r>
          <w:rPr>
            <w:rFonts w:ascii="Cambria Math" w:hAnsi="Cambria Math"/>
          </w:rPr>
          <m:t>α</m:t>
        </m:r>
      </m:oMath>
      <w:r>
        <w:t xml:space="preserve"> = 0.36). Even a very large true correlation of </w:t>
      </w:r>
      <w:r>
        <w:rPr>
          <w:i/>
          <w:iCs/>
        </w:rPr>
        <w:t>r</w:t>
      </w:r>
      <w:r>
        <w:t xml:space="preserve"> = .7 would require a sample size of over 120 infants. In other words, even under optimistic estimates of reliability based on strict inclusion criteria, the low reliability of IDS preference measures would severely limit the feasibility of individual difference and longitudinal research using current methods.</w:t>
      </w:r>
    </w:p>
    <w:p w14:paraId="1E368C42" w14:textId="77777777" w:rsidR="007E34BB" w:rsidRDefault="00000000">
      <w:pPr>
        <w:pStyle w:val="BodyText"/>
      </w:pPr>
      <w:r>
        <w:lastRenderedPageBreak/>
        <w:t>As our results are only based on the phenomenon of IDS preference (albeit, with three widely used methods: HPP, CF, ET), it is essential to further assess the underlying reliability of preferential looking measures within other areas of speech perception (Marimon &amp; Höhle, 2022). While most infants prefer IDS over ADS (Dunst et al., 2012), patterns of preferential looking in other tasks (e.g., speech segmentation, artificial grammar learning) are often inconsistent and can vary based on factors such as infants’ experience with the testing paradigm (Bergmann &amp; Cristia, 2016; Santolin, Garcia-Castro, Zettersten, Sebastian-Galles, &amp; Saffran, 2021).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2DAF7F38" w14:textId="77777777" w:rsidR="007E34BB" w:rsidRDefault="00000000">
      <w:pPr>
        <w:pStyle w:val="BodyText"/>
      </w:pPr>
      <w:r>
        <w:t xml:space="preserve">While we observed limited evidence for test-retest reliability using preference measures, we observed robust correlations for average looking times between Session 1 and 2, both overall and for IDS and ADS stimuli considered separately (see also Supplementary Materials S8 for an investigation of item-level correlations). This finding is consistent with past results in infant looking time studies finding robust correlations in average looking times across multiple sessions (Marimon &amp; Höhle, 2022). It also raises an apparent puzzle: why are overall looking times for ADS and IDS stimuli correlated while difference scores are not? One explanation is that infants have stable individual differences in how long they look to stimuli, but little or no stable individual differences in their preference for one stimulus type over another. This only partially </w:t>
      </w:r>
      <w:r>
        <w:lastRenderedPageBreak/>
        <w:t>explains the current pattern of results, however, because IDS looking time in Session 1 predicted IDS looking time in Session 2 even when controlling for ADS looking time, and vice versa (see Supplementary Materials S8). In other words, the condition-specific looking time correlations are not fully explained by overall looking behavior. Another long-established explanation is that difference scores tend to have poor measurement reliability, because difference scores combine error from individual measurements into a composite score, increasing the ratio of error relative to the variance between participants (Hedge et al., 2018; Lord, 1956). Given the limitations of difference scores (and composite scores in general), one goal for future research will be to assess the use of trial-by-trial model-based approaches for estimating reliability (Haines et al., 2020; Rouder &amp; Haaf, 2019).</w:t>
      </w:r>
    </w:p>
    <w:p w14:paraId="40B04682" w14:textId="77777777" w:rsidR="007E34BB" w:rsidRDefault="00000000">
      <w:pPr>
        <w:pStyle w:val="Heading2"/>
      </w:pPr>
      <w:bookmarkStart w:id="17" w:name="limitations"/>
      <w:r>
        <w:t>Limitations</w:t>
      </w:r>
    </w:p>
    <w:p w14:paraId="458DC7C9" w14:textId="77777777" w:rsidR="007E34BB" w:rsidRDefault="00000000">
      <w:pPr>
        <w:pStyle w:val="FirstParagraph"/>
      </w:pPr>
      <w:r>
        <w:t>While we had an above-average sample size for a study in infant research, we were unable to approach the number of participants collected within the original MB1 study. Several factors likely contributed to the lower participation rate. The call to participate in the test-retest spin-off was delayed relative to the MB1 call, scheduling a second lab visit for each participant involved a significant additional effort for participating labs, and there were already other collaborative studies taking place simultaneously (MB1B, Byers-Heinlein, Tsui, Bergmann, et al., 2021; MB1G, Byers-Heinlein, Tsui, Van Renswoude, et al., 2021). A larger sample size and a greater number of participating labs from different countries would have enabled us to conduct a more highly-powered test of differences in test-retest reliability across different methods, language backgrounds, and participant age.</w:t>
      </w:r>
    </w:p>
    <w:p w14:paraId="6B364CB3" w14:textId="77777777" w:rsidR="007E34BB" w:rsidRDefault="00000000">
      <w:pPr>
        <w:pStyle w:val="BodyText"/>
      </w:pPr>
      <w:r>
        <w:t xml:space="preserve">A further limitation concerns the stimuli. While the order of the audio recording clips presented to infants within a given trial differed between the first and second session, the exact </w:t>
      </w:r>
      <w:r>
        <w:lastRenderedPageBreak/>
        <w:t>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 However, in supplementary analyses, we found that test-retest reliability was not significantly moderated by infants’ overall looking time during their first testing session (see Supplementary Materials S10). Moreover, infants’ looking times generally declined in Session 2 compared to Session 1 (consistent with past work, e.g., Marimon &amp; Höhle, 2022), limiting opportunities for infants to encounter previously experienced stimulus material.</w:t>
      </w:r>
    </w:p>
    <w:p w14:paraId="1D295156" w14:textId="77777777" w:rsidR="007E34BB" w:rsidRDefault="00000000">
      <w:pPr>
        <w:pStyle w:val="Heading1"/>
      </w:pPr>
      <w:bookmarkStart w:id="18" w:name="conclusion"/>
      <w:bookmarkEnd w:id="16"/>
      <w:bookmarkEnd w:id="17"/>
      <w:r>
        <w:t>Conclusion</w:t>
      </w:r>
    </w:p>
    <w:p w14:paraId="55220FB5" w14:textId="77777777" w:rsidR="007E34BB" w:rsidRDefault="00000000">
      <w:pPr>
        <w:pStyle w:val="FirstParagraph"/>
      </w:pPr>
      <w: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16C166D4" w14:textId="77777777" w:rsidR="007E34BB" w:rsidRDefault="00000000">
      <w:r>
        <w:br w:type="page"/>
      </w:r>
    </w:p>
    <w:p w14:paraId="14927EDA" w14:textId="77777777" w:rsidR="007E34BB" w:rsidRDefault="00000000">
      <w:pPr>
        <w:pStyle w:val="Heading1"/>
      </w:pPr>
      <w:bookmarkStart w:id="19" w:name="references"/>
      <w:bookmarkEnd w:id="18"/>
      <w:r>
        <w:lastRenderedPageBreak/>
        <w:t>References</w:t>
      </w:r>
    </w:p>
    <w:p w14:paraId="53192EA3" w14:textId="77777777" w:rsidR="007E34BB" w:rsidRDefault="00000000">
      <w:pPr>
        <w:pStyle w:val="Bibliography"/>
      </w:pPr>
      <w:bookmarkStart w:id="20" w:name="ref-bergmann2016development"/>
      <w:bookmarkStart w:id="21" w:name="refs"/>
      <w:r>
        <w:t xml:space="preserve">Bergmann, C., &amp; Cristia, A. (2016). Development of infants’ segmentation of words from native speech: A meta-analytic approach. </w:t>
      </w:r>
      <w:r>
        <w:rPr>
          <w:i/>
          <w:iCs/>
        </w:rPr>
        <w:t>Developmental Science</w:t>
      </w:r>
      <w:r>
        <w:t xml:space="preserve">, </w:t>
      </w:r>
      <w:r>
        <w:rPr>
          <w:i/>
          <w:iCs/>
        </w:rPr>
        <w:t>19</w:t>
      </w:r>
      <w:r>
        <w:t>(6), 901–917.</w:t>
      </w:r>
    </w:p>
    <w:p w14:paraId="081EFAF6" w14:textId="77777777" w:rsidR="007E34BB" w:rsidRDefault="00000000">
      <w:pPr>
        <w:pStyle w:val="Bibliography"/>
      </w:pPr>
      <w:bookmarkStart w:id="22" w:name="ref-byers2021six"/>
      <w:bookmarkEnd w:id="20"/>
      <w:r>
        <w:t xml:space="preserve">Byers-Heinlein, K., Bergmann, C., &amp; Savalei, V. (2022). Six solutions for more reliable infant research. </w:t>
      </w:r>
      <w:r>
        <w:rPr>
          <w:i/>
          <w:iCs/>
        </w:rPr>
        <w:t>Infant and Child Development</w:t>
      </w:r>
      <w:r>
        <w:t xml:space="preserve">, </w:t>
      </w:r>
      <w:r>
        <w:rPr>
          <w:i/>
          <w:iCs/>
        </w:rPr>
        <w:t>31</w:t>
      </w:r>
      <w:r>
        <w:t>(5), e2296.</w:t>
      </w:r>
    </w:p>
    <w:p w14:paraId="278E5761" w14:textId="77777777" w:rsidR="007E34BB" w:rsidRDefault="00000000">
      <w:pPr>
        <w:pStyle w:val="Bibliography"/>
      </w:pPr>
      <w:bookmarkStart w:id="23" w:name="ref-byers2021multilab"/>
      <w:bookmarkEnd w:id="22"/>
      <w:r>
        <w:t xml:space="preserve">Byers-Heinlein, K., Tsui, A. S. M., Bergmann, C., Black, A. K., Brown, A., Carbajal, M. J., … Wermelinger, S. (2021). A multilab study of bilingual infants: Exploring the preference for infant-directed speech. </w:t>
      </w:r>
      <w:r>
        <w:rPr>
          <w:i/>
          <w:iCs/>
        </w:rPr>
        <w:t>Advances in Methods and Practices in Psychological Science</w:t>
      </w:r>
      <w:r>
        <w:t xml:space="preserve">, </w:t>
      </w:r>
      <w:r>
        <w:rPr>
          <w:i/>
          <w:iCs/>
        </w:rPr>
        <w:t>4</w:t>
      </w:r>
      <w:r>
        <w:t>(1), 2515245920974622.</w:t>
      </w:r>
    </w:p>
    <w:p w14:paraId="1ABAFDEE" w14:textId="77777777" w:rsidR="007E34BB" w:rsidRDefault="00000000">
      <w:pPr>
        <w:pStyle w:val="Bibliography"/>
      </w:pPr>
      <w:bookmarkStart w:id="24" w:name="ref-byers2021development"/>
      <w:bookmarkEnd w:id="23"/>
      <w:r>
        <w:t xml:space="preserve">Byers-Heinlein, K., Tsui, R. K.-Y., Van Renswoude, D., Black, A. K., Barr, R., Brown, A., … Singh, L. (2021). The development of gaze following in monolingual and bilingual infants: A multi-laboratory study. </w:t>
      </w:r>
      <w:r>
        <w:rPr>
          <w:i/>
          <w:iCs/>
        </w:rPr>
        <w:t>Infancy</w:t>
      </w:r>
      <w:r>
        <w:t xml:space="preserve">, </w:t>
      </w:r>
      <w:r>
        <w:rPr>
          <w:i/>
          <w:iCs/>
        </w:rPr>
        <w:t>26</w:t>
      </w:r>
      <w:r>
        <w:t>(1), 4–38.</w:t>
      </w:r>
    </w:p>
    <w:p w14:paraId="12AC5733" w14:textId="77777777" w:rsidR="007E34BB" w:rsidRDefault="00000000">
      <w:pPr>
        <w:pStyle w:val="Bibliography"/>
      </w:pPr>
      <w:bookmarkStart w:id="25" w:name="ref-colombo1988infant"/>
      <w:bookmarkEnd w:id="24"/>
      <w:r>
        <w:t xml:space="preserve">Colombo, J., Mitchell, D. W., &amp; Horowitz, F. D. (1988). Infant visual attention in the paired-comparison paradigm: Test-retest and attention-performance relations. </w:t>
      </w:r>
      <w:r>
        <w:rPr>
          <w:i/>
          <w:iCs/>
        </w:rPr>
        <w:t>Child Development</w:t>
      </w:r>
      <w:r>
        <w:t>, 1198–1210.</w:t>
      </w:r>
    </w:p>
    <w:p w14:paraId="7899FACB" w14:textId="77777777" w:rsidR="007E34BB" w:rsidRDefault="00000000">
      <w:pPr>
        <w:pStyle w:val="Bibliography"/>
      </w:pPr>
      <w:bookmarkStart w:id="26" w:name="ref-cooper1990preference"/>
      <w:bookmarkEnd w:id="25"/>
      <w:r>
        <w:t xml:space="preserve">Cooper, R. P., &amp; Aslin, R. N. (1990). Preference for infant-directed speech in the first month after birth. </w:t>
      </w:r>
      <w:r>
        <w:rPr>
          <w:i/>
          <w:iCs/>
        </w:rPr>
        <w:t>Child Development</w:t>
      </w:r>
      <w:r>
        <w:t xml:space="preserve">, </w:t>
      </w:r>
      <w:r>
        <w:rPr>
          <w:i/>
          <w:iCs/>
        </w:rPr>
        <w:t>61</w:t>
      </w:r>
      <w:r>
        <w:t>(5), 1584–1595.</w:t>
      </w:r>
    </w:p>
    <w:p w14:paraId="46373196" w14:textId="77777777" w:rsidR="007E34BB" w:rsidRDefault="00000000">
      <w:pPr>
        <w:pStyle w:val="Bibliography"/>
      </w:pPr>
      <w:bookmarkStart w:id="27" w:name="ref-cristia2014predicting"/>
      <w:bookmarkEnd w:id="26"/>
      <w:r>
        <w:t xml:space="preserve">Cristia, A., Seidl, A., Junge, C., Soderstrom, M., &amp; Hagoort, P. (2014). Predicting individual variation in language from infant speech perception measures. </w:t>
      </w:r>
      <w:r>
        <w:rPr>
          <w:i/>
          <w:iCs/>
        </w:rPr>
        <w:t>Child Development</w:t>
      </w:r>
      <w:r>
        <w:t xml:space="preserve">, </w:t>
      </w:r>
      <w:r>
        <w:rPr>
          <w:i/>
          <w:iCs/>
        </w:rPr>
        <w:t>85</w:t>
      </w:r>
      <w:r>
        <w:t>(4), 1330–1345.</w:t>
      </w:r>
    </w:p>
    <w:p w14:paraId="4E761A4A" w14:textId="77777777" w:rsidR="007E34BB" w:rsidRDefault="00000000">
      <w:pPr>
        <w:pStyle w:val="Bibliography"/>
      </w:pPr>
      <w:bookmarkStart w:id="28" w:name="ref-cristia2016test"/>
      <w:bookmarkEnd w:id="27"/>
      <w:r>
        <w:lastRenderedPageBreak/>
        <w:t xml:space="preserve">Cristia, A., Seidl, A., Singh, L., &amp; Houston, D. (2016). Test–retest reliability in infant speech perception tasks. </w:t>
      </w:r>
      <w:r>
        <w:rPr>
          <w:i/>
          <w:iCs/>
        </w:rPr>
        <w:t>Infancy</w:t>
      </w:r>
      <w:r>
        <w:t xml:space="preserve">, </w:t>
      </w:r>
      <w:r>
        <w:rPr>
          <w:i/>
          <w:iCs/>
        </w:rPr>
        <w:t>21</w:t>
      </w:r>
      <w:r>
        <w:t>(5), 648–667.</w:t>
      </w:r>
    </w:p>
    <w:p w14:paraId="23DB57B6" w14:textId="77777777" w:rsidR="007E34BB" w:rsidRDefault="00000000">
      <w:pPr>
        <w:pStyle w:val="Bibliography"/>
      </w:pPr>
      <w:bookmarkStart w:id="29" w:name="ref-debolt2020robust"/>
      <w:bookmarkEnd w:id="28"/>
      <w:r>
        <w:t xml:space="preserve">DeBolt, M. C., Rhemtulla, M., &amp; Oakes, L. M. (2020). Robust data and power in infant research: A case study of the effect of number of infants and number of trials in visual preference procedures. </w:t>
      </w:r>
      <w:r>
        <w:rPr>
          <w:i/>
          <w:iCs/>
        </w:rPr>
        <w:t>Infancy</w:t>
      </w:r>
      <w:r>
        <w:t xml:space="preserve">, </w:t>
      </w:r>
      <w:r>
        <w:rPr>
          <w:i/>
          <w:iCs/>
        </w:rPr>
        <w:t>25</w:t>
      </w:r>
      <w:r>
        <w:t>(4), 393–419.</w:t>
      </w:r>
    </w:p>
    <w:p w14:paraId="30C097E4" w14:textId="77777777" w:rsidR="007E34BB" w:rsidRDefault="00000000">
      <w:pPr>
        <w:pStyle w:val="Bibliography"/>
      </w:pPr>
      <w:bookmarkStart w:id="30" w:name="ref-depaolis2014infants"/>
      <w:bookmarkEnd w:id="29"/>
      <w:r>
        <w:t xml:space="preserve">DePaolis, R. A., Vihman, M. M., &amp; Keren-Portnoy, T. (2014). When do infants begin recognizing familiar words in sentences? </w:t>
      </w:r>
      <w:r>
        <w:rPr>
          <w:i/>
          <w:iCs/>
        </w:rPr>
        <w:t>Journal of Child Language</w:t>
      </w:r>
      <w:r>
        <w:t xml:space="preserve">, </w:t>
      </w:r>
      <w:r>
        <w:rPr>
          <w:i/>
          <w:iCs/>
        </w:rPr>
        <w:t>41</w:t>
      </w:r>
      <w:r>
        <w:t>(1), 226–239.</w:t>
      </w:r>
    </w:p>
    <w:p w14:paraId="678FD733" w14:textId="77777777" w:rsidR="007E34BB" w:rsidRDefault="00000000">
      <w:pPr>
        <w:pStyle w:val="Bibliography"/>
      </w:pPr>
      <w:bookmarkStart w:id="31" w:name="ref-dunst2012preference"/>
      <w:bookmarkEnd w:id="30"/>
      <w:r>
        <w:t xml:space="preserve">Dunst, C., Gorman, E., &amp; Hamby, D. (2012). Preference for infant-directed speech in preverbal young children. </w:t>
      </w:r>
      <w:r>
        <w:rPr>
          <w:i/>
          <w:iCs/>
        </w:rPr>
        <w:t>Center for Early Literacy Learning</w:t>
      </w:r>
      <w:r>
        <w:t xml:space="preserve">, </w:t>
      </w:r>
      <w:r>
        <w:rPr>
          <w:i/>
          <w:iCs/>
        </w:rPr>
        <w:t>5</w:t>
      </w:r>
      <w:r>
        <w:t xml:space="preserve">(1), 1–13. Retrieved from </w:t>
      </w:r>
      <w:hyperlink r:id="rId12">
        <w:r>
          <w:rPr>
            <w:rStyle w:val="Hyperlink"/>
          </w:rPr>
          <w:t>http://www.earlyliteracylearning.org/cellreviews/cellreviews_v5_n1.pdf</w:t>
        </w:r>
      </w:hyperlink>
    </w:p>
    <w:p w14:paraId="143FA369" w14:textId="77777777" w:rsidR="007E34BB" w:rsidRDefault="00000000">
      <w:pPr>
        <w:pStyle w:val="Bibliography"/>
      </w:pPr>
      <w:bookmarkStart w:id="32" w:name="ref-egger2020improving"/>
      <w:bookmarkEnd w:id="31"/>
      <w:r>
        <w:t xml:space="preserve">Egger, J., Rowland, C. F., &amp; Bergmann, C. (2020). Improving the robustness of infant lexical processing speed measures. </w:t>
      </w:r>
      <w:r>
        <w:rPr>
          <w:i/>
          <w:iCs/>
        </w:rPr>
        <w:t>Behavior Research Methods</w:t>
      </w:r>
      <w:r>
        <w:t xml:space="preserve">, </w:t>
      </w:r>
      <w:r>
        <w:rPr>
          <w:i/>
          <w:iCs/>
        </w:rPr>
        <w:t>52</w:t>
      </w:r>
      <w:r>
        <w:t>(5), 2188–2201.</w:t>
      </w:r>
    </w:p>
    <w:p w14:paraId="686CAB7D" w14:textId="77777777" w:rsidR="007E34BB" w:rsidRDefault="00000000">
      <w:pPr>
        <w:pStyle w:val="Bibliography"/>
      </w:pPr>
      <w:bookmarkStart w:id="33" w:name="ref-fernald2012individual"/>
      <w:bookmarkEnd w:id="32"/>
      <w:r>
        <w:t xml:space="preserve">Fernald, A., &amp; Marchman, V. A. (2012). Individual differences in lexical processing at 18 months predict vocabulary growth in typically developing and late-talking toddlers. </w:t>
      </w:r>
      <w:r>
        <w:rPr>
          <w:i/>
          <w:iCs/>
        </w:rPr>
        <w:t>Child Development</w:t>
      </w:r>
      <w:r>
        <w:t xml:space="preserve">, </w:t>
      </w:r>
      <w:r>
        <w:rPr>
          <w:i/>
          <w:iCs/>
        </w:rPr>
        <w:t>83</w:t>
      </w:r>
      <w:r>
        <w:t>(1), 203–222.</w:t>
      </w:r>
    </w:p>
    <w:p w14:paraId="2BFBCB07" w14:textId="77777777" w:rsidR="007E34BB" w:rsidRDefault="00000000">
      <w:pPr>
        <w:pStyle w:val="Bibliography"/>
      </w:pPr>
      <w:bookmarkStart w:id="34" w:name="ref-fernald1989cross"/>
      <w:bookmarkEnd w:id="33"/>
      <w:r>
        <w:t xml:space="preserve">Fernald, A., Taeschner, T., Dunn, J., Papousek, M., Boysson-Bardies, B. de, &amp; Fukui, I. (1989). A cross-language study of prosodic modifications in mothers’ and fathers’ speech to preverbal infants. </w:t>
      </w:r>
      <w:r>
        <w:rPr>
          <w:i/>
          <w:iCs/>
        </w:rPr>
        <w:t>Journal of Child Language</w:t>
      </w:r>
      <w:r>
        <w:t xml:space="preserve">, </w:t>
      </w:r>
      <w:r>
        <w:rPr>
          <w:i/>
          <w:iCs/>
        </w:rPr>
        <w:t>16</w:t>
      </w:r>
      <w:r>
        <w:t>(3), 477–501.</w:t>
      </w:r>
    </w:p>
    <w:p w14:paraId="75A8A59B" w14:textId="77777777" w:rsidR="007E34BB" w:rsidRDefault="00000000">
      <w:pPr>
        <w:pStyle w:val="Bibliography"/>
      </w:pPr>
      <w:bookmarkStart w:id="35" w:name="ref-floccia2016british"/>
      <w:bookmarkEnd w:id="34"/>
      <w:r>
        <w:t xml:space="preserve">Floccia, C., Keren-Portnoy, T., DePaolis, R., Duffy, H., Delle Luche, C., Durrant, S., … Vihman, M. (2016). British english infants segment words only with exaggerated infant-directed speech stimuli. </w:t>
      </w:r>
      <w:r>
        <w:rPr>
          <w:i/>
          <w:iCs/>
        </w:rPr>
        <w:t>Cognition</w:t>
      </w:r>
      <w:r>
        <w:t xml:space="preserve">, </w:t>
      </w:r>
      <w:r>
        <w:rPr>
          <w:i/>
          <w:iCs/>
        </w:rPr>
        <w:t>148</w:t>
      </w:r>
      <w:r>
        <w:t>, 1–9.</w:t>
      </w:r>
    </w:p>
    <w:p w14:paraId="61E611E2" w14:textId="77777777" w:rsidR="007E34BB" w:rsidRDefault="00000000">
      <w:pPr>
        <w:pStyle w:val="Bibliography"/>
      </w:pPr>
      <w:bookmarkStart w:id="36" w:name="ref-frank2017collaborative"/>
      <w:bookmarkEnd w:id="35"/>
      <w:r>
        <w:lastRenderedPageBreak/>
        <w:t xml:space="preserve">Frank, M. C., Bergelson, E., Bergmann, C., Cristia, A., Floccia, C., Gervain, J., … Yurovsky, D. (2017). A collaborative approach to infant research: Promoting reproducibility, best practices, and theory-building. </w:t>
      </w:r>
      <w:r>
        <w:rPr>
          <w:i/>
          <w:iCs/>
        </w:rPr>
        <w:t>Infancy</w:t>
      </w:r>
      <w:r>
        <w:t xml:space="preserve">, </w:t>
      </w:r>
      <w:r>
        <w:rPr>
          <w:i/>
          <w:iCs/>
        </w:rPr>
        <w:t>22</w:t>
      </w:r>
      <w:r>
        <w:t xml:space="preserve">(4), 421–435. </w:t>
      </w:r>
      <w:hyperlink r:id="rId13">
        <w:r>
          <w:rPr>
            <w:rStyle w:val="Hyperlink"/>
          </w:rPr>
          <w:t>https://doi.org/10.1111/infa.12182</w:t>
        </w:r>
      </w:hyperlink>
    </w:p>
    <w:p w14:paraId="5248FE91" w14:textId="77777777" w:rsidR="007E34BB" w:rsidRDefault="00000000">
      <w:pPr>
        <w:pStyle w:val="Bibliography"/>
      </w:pPr>
      <w:bookmarkStart w:id="37" w:name="ref-graf2013infant"/>
      <w:bookmarkEnd w:id="36"/>
      <w:r>
        <w:t xml:space="preserve">Graf Estes, K., &amp; Hurley, K. (2013). Infant-directed prosody helps infants map sounds to meanings. </w:t>
      </w:r>
      <w:r>
        <w:rPr>
          <w:i/>
          <w:iCs/>
        </w:rPr>
        <w:t>Infancy</w:t>
      </w:r>
      <w:r>
        <w:t xml:space="preserve">, </w:t>
      </w:r>
      <w:r>
        <w:rPr>
          <w:i/>
          <w:iCs/>
        </w:rPr>
        <w:t>18</w:t>
      </w:r>
      <w:r>
        <w:t xml:space="preserve">(5), 797–824. </w:t>
      </w:r>
      <w:hyperlink r:id="rId14">
        <w:r>
          <w:rPr>
            <w:rStyle w:val="Hyperlink"/>
          </w:rPr>
          <w:t>https://doi.org/10.1111/infa.12006</w:t>
        </w:r>
      </w:hyperlink>
    </w:p>
    <w:p w14:paraId="555AD6FE" w14:textId="77777777" w:rsidR="007E34BB" w:rsidRDefault="00000000">
      <w:pPr>
        <w:pStyle w:val="Bibliography"/>
      </w:pPr>
      <w:bookmarkStart w:id="38" w:name="ref-haines_theoretically_2020"/>
      <w:bookmarkEnd w:id="37"/>
      <w:r>
        <w:t xml:space="preserve">Haines, N., Kvam, P. D., Irving, L. H., Smith, C., Beauchaine, T. P., Pitt, M. A., … Turner, B. (2020). </w:t>
      </w:r>
      <w:r>
        <w:rPr>
          <w:i/>
          <w:iCs/>
        </w:rPr>
        <w:t>Theoretically Informed Generative Models Can Advance the Psychological and Brain Sciences: Lessons from the Reliability Paradox</w:t>
      </w:r>
      <w:r>
        <w:t xml:space="preserve"> [Preprint]. PsyArXiv. </w:t>
      </w:r>
      <w:hyperlink r:id="rId15">
        <w:r>
          <w:rPr>
            <w:rStyle w:val="Hyperlink"/>
          </w:rPr>
          <w:t>https://doi.org/10.31234/osf.io/xr7y3</w:t>
        </w:r>
      </w:hyperlink>
    </w:p>
    <w:p w14:paraId="18F6B1B5" w14:textId="77777777" w:rsidR="007E34BB" w:rsidRDefault="00000000">
      <w:pPr>
        <w:pStyle w:val="Bibliography"/>
      </w:pPr>
      <w:bookmarkStart w:id="39" w:name="ref-hedge2018reliability"/>
      <w:bookmarkEnd w:id="38"/>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4B0C21A7" w14:textId="77777777" w:rsidR="007E34BB" w:rsidRDefault="00000000">
      <w:pPr>
        <w:pStyle w:val="Bibliography"/>
      </w:pPr>
      <w:bookmarkStart w:id="40" w:name="ref-houston2007assessing"/>
      <w:bookmarkEnd w:id="39"/>
      <w:r>
        <w:t xml:space="preserve">Houston, D. M., Horn, D. L., Qi, R., Ting, J. Y., &amp; Gao, S. (2007). Assessing speech discrimination in individual infants. </w:t>
      </w:r>
      <w:r>
        <w:rPr>
          <w:i/>
          <w:iCs/>
        </w:rPr>
        <w:t>Infancy</w:t>
      </w:r>
      <w:r>
        <w:t xml:space="preserve">, </w:t>
      </w:r>
      <w:r>
        <w:rPr>
          <w:i/>
          <w:iCs/>
        </w:rPr>
        <w:t>12</w:t>
      </w:r>
      <w:r>
        <w:t>(2), 119–145.</w:t>
      </w:r>
    </w:p>
    <w:p w14:paraId="2B73E6A6" w14:textId="77777777" w:rsidR="007E34BB" w:rsidRDefault="00000000">
      <w:pPr>
        <w:pStyle w:val="Bibliography"/>
      </w:pPr>
      <w:bookmarkStart w:id="41" w:name="ref-hunter1988multifactor"/>
      <w:bookmarkEnd w:id="40"/>
      <w:r>
        <w:t xml:space="preserve">Hunter, M. A., &amp; Ames, E. W. (1988). A multifactor model of infant preferences for novel and familiar stimuli. </w:t>
      </w:r>
      <w:r>
        <w:rPr>
          <w:i/>
          <w:iCs/>
        </w:rPr>
        <w:t>Advances in Infancy Research</w:t>
      </w:r>
      <w:r>
        <w:t xml:space="preserve">, </w:t>
      </w:r>
      <w:r>
        <w:rPr>
          <w:i/>
          <w:iCs/>
        </w:rPr>
        <w:t>5</w:t>
      </w:r>
      <w:r>
        <w:t>, 69–95.</w:t>
      </w:r>
    </w:p>
    <w:p w14:paraId="18644620" w14:textId="77777777" w:rsidR="007E34BB" w:rsidRDefault="00000000">
      <w:pPr>
        <w:pStyle w:val="Bibliography"/>
      </w:pPr>
      <w:bookmarkStart w:id="42" w:name="ref-johnson2010using"/>
      <w:bookmarkEnd w:id="41"/>
      <w:r>
        <w:t xml:space="preserve">Johnson, E., &amp; Zamuner, T. (2010). Using infant and toddler testing methods in language acquisition research. In E. Blom &amp; S. Unsworth (Eds.), </w:t>
      </w:r>
      <w:r>
        <w:rPr>
          <w:i/>
          <w:iCs/>
        </w:rPr>
        <w:t>Experimental methods in language acquisition research</w:t>
      </w:r>
      <w:r>
        <w:t xml:space="preserve"> (pp. 73–93). Amsterdam: John Benjamins Publishing Company.</w:t>
      </w:r>
    </w:p>
    <w:p w14:paraId="59E2E89B" w14:textId="77777777" w:rsidR="007E34BB" w:rsidRDefault="00000000">
      <w:pPr>
        <w:pStyle w:val="Bibliography"/>
      </w:pPr>
      <w:bookmarkStart w:id="43" w:name="ref-junge2020contrasting"/>
      <w:bookmarkEnd w:id="42"/>
      <w:r>
        <w:lastRenderedPageBreak/>
        <w:t xml:space="preserve">Junge, C., Everaert, E., Porto, L., Fikkert, P., Klerk, M. de, Keij, B., &amp; Benders, T. (2020). Contrasting behavioral looking procedures: A case study on infant speech segmentation. </w:t>
      </w:r>
      <w:r>
        <w:rPr>
          <w:i/>
          <w:iCs/>
        </w:rPr>
        <w:t>Infant Behavior and Development</w:t>
      </w:r>
      <w:r>
        <w:t xml:space="preserve">, </w:t>
      </w:r>
      <w:r>
        <w:rPr>
          <w:i/>
          <w:iCs/>
        </w:rPr>
        <w:t>60</w:t>
      </w:r>
      <w:r>
        <w:t>, 101448.</w:t>
      </w:r>
    </w:p>
    <w:p w14:paraId="710257E0" w14:textId="77777777" w:rsidR="007E34BB" w:rsidRDefault="00000000">
      <w:pPr>
        <w:pStyle w:val="Bibliography"/>
      </w:pPr>
      <w:bookmarkStart w:id="44" w:name="ref-lo_e-babylab_2023"/>
      <w:bookmarkEnd w:id="43"/>
      <w:r>
        <w:t xml:space="preserve">Lo, C. H., Hermes, J., Kartushina, N., Mayor, J., &amp; Mani, N. (2023). E-Babylab: An open-source browser-based tool for unmoderated online developmental studies. </w:t>
      </w:r>
      <w:r>
        <w:rPr>
          <w:i/>
          <w:iCs/>
        </w:rPr>
        <w:t>Behavior Research Methods</w:t>
      </w:r>
      <w:r>
        <w:t xml:space="preserve">. </w:t>
      </w:r>
      <w:hyperlink r:id="rId16">
        <w:r>
          <w:rPr>
            <w:rStyle w:val="Hyperlink"/>
          </w:rPr>
          <w:t>https://doi.org/10.3758/s13428-023-02200-7</w:t>
        </w:r>
      </w:hyperlink>
    </w:p>
    <w:p w14:paraId="01F216DA" w14:textId="77777777" w:rsidR="007E34BB" w:rsidRDefault="00000000">
      <w:pPr>
        <w:pStyle w:val="Bibliography"/>
      </w:pPr>
      <w:bookmarkStart w:id="45" w:name="ref-lord_measurement_growth"/>
      <w:bookmarkEnd w:id="44"/>
      <w:r>
        <w:t xml:space="preserve">Lord, F. M. (1956). The measurement of growth. </w:t>
      </w:r>
      <w:r>
        <w:rPr>
          <w:i/>
          <w:iCs/>
        </w:rPr>
        <w:t>Educational and Psychological Measurement</w:t>
      </w:r>
      <w:r>
        <w:t xml:space="preserve">, </w:t>
      </w:r>
      <w:r>
        <w:rPr>
          <w:i/>
          <w:iCs/>
        </w:rPr>
        <w:t>16</w:t>
      </w:r>
      <w:r>
        <w:t xml:space="preserve">, 421–437. </w:t>
      </w:r>
      <w:hyperlink r:id="rId17">
        <w:r>
          <w:rPr>
            <w:rStyle w:val="Hyperlink"/>
          </w:rPr>
          <w:t>https://doi.org/10.1177/001316445601600401</w:t>
        </w:r>
      </w:hyperlink>
    </w:p>
    <w:p w14:paraId="3F636104" w14:textId="77777777" w:rsidR="007E34BB" w:rsidRDefault="00000000">
      <w:pPr>
        <w:pStyle w:val="Bibliography"/>
      </w:pPr>
      <w:bookmarkStart w:id="46" w:name="ref-ma2011word"/>
      <w:bookmarkEnd w:id="45"/>
      <w:r>
        <w:t xml:space="preserve">Ma, W., Golinkoff, R. M., Houston, D. M., &amp; Hirsh-Pasek, K. (2011). Word learning in infant-and adult-directed speech. </w:t>
      </w:r>
      <w:r>
        <w:rPr>
          <w:i/>
          <w:iCs/>
        </w:rPr>
        <w:t>Language Learning and Development</w:t>
      </w:r>
      <w:r>
        <w:t xml:space="preserve">, </w:t>
      </w:r>
      <w:r>
        <w:rPr>
          <w:i/>
          <w:iCs/>
        </w:rPr>
        <w:t>7</w:t>
      </w:r>
      <w:r>
        <w:t>(3), 185–201.</w:t>
      </w:r>
    </w:p>
    <w:p w14:paraId="628DBCA8" w14:textId="77777777" w:rsidR="007E34BB" w:rsidRDefault="00000000">
      <w:pPr>
        <w:pStyle w:val="Bibliography"/>
      </w:pPr>
      <w:bookmarkStart w:id="47" w:name="ref-manybabies2020quantifying"/>
      <w:bookmarkEnd w:id="46"/>
      <w:r>
        <w:t xml:space="preserve">ManyBabies Consortium. (2020). Quantifying sources of variability in infancy research using the infant-directed-speech preference. </w:t>
      </w:r>
      <w:r>
        <w:rPr>
          <w:i/>
          <w:iCs/>
        </w:rPr>
        <w:t>Advances in Methods and Practices in Psychological Science</w:t>
      </w:r>
      <w:r>
        <w:t xml:space="preserve">, </w:t>
      </w:r>
      <w:r>
        <w:rPr>
          <w:i/>
          <w:iCs/>
        </w:rPr>
        <w:t>3</w:t>
      </w:r>
      <w:r>
        <w:t>(1), 24–52.</w:t>
      </w:r>
    </w:p>
    <w:p w14:paraId="728B6094" w14:textId="77777777" w:rsidR="007E34BB" w:rsidRDefault="00000000">
      <w:pPr>
        <w:pStyle w:val="Bibliography"/>
      </w:pPr>
      <w:bookmarkStart w:id="48" w:name="ref-marimon2022"/>
      <w:bookmarkEnd w:id="47"/>
      <w:r>
        <w:t xml:space="preserve">Marimon, M., &amp; Höhle, B. (2022). Testing prosodic development with the headturn preference procedure: A test-retest reliability study. </w:t>
      </w:r>
      <w:r>
        <w:rPr>
          <w:i/>
          <w:iCs/>
        </w:rPr>
        <w:t>Infant and Child Development</w:t>
      </w:r>
      <w:r>
        <w:t>, e2362.</w:t>
      </w:r>
    </w:p>
    <w:p w14:paraId="68050F04" w14:textId="77777777" w:rsidR="007E34BB" w:rsidRDefault="00000000">
      <w:pPr>
        <w:pStyle w:val="Bibliography"/>
      </w:pPr>
      <w:bookmarkStart w:id="49" w:name="ref-miller2017developmental"/>
      <w:bookmarkEnd w:id="48"/>
      <w:r>
        <w:t xml:space="preserve">Miller, S. A. (2017). </w:t>
      </w:r>
      <w:r>
        <w:rPr>
          <w:i/>
          <w:iCs/>
        </w:rPr>
        <w:t>Developmental research methods</w:t>
      </w:r>
      <w:r>
        <w:t>. Sage publications.</w:t>
      </w:r>
    </w:p>
    <w:p w14:paraId="251DF308" w14:textId="77777777" w:rsidR="007E34BB" w:rsidRDefault="00000000">
      <w:pPr>
        <w:pStyle w:val="Bibliography"/>
      </w:pPr>
      <w:bookmarkStart w:id="50" w:name="ref-naoi2012cerebral"/>
      <w:bookmarkEnd w:id="49"/>
      <w:r>
        <w:t xml:space="preserve">Naoi, N., Minagawa-Kawai, Y., Kobayashi, A., Takeuchi, K., Nakamura, K., Yamamoto, J., &amp; Shozo, K. (2012). Cerebral responses to infant-directed speech and the effect of talker familiarity. </w:t>
      </w:r>
      <w:r>
        <w:rPr>
          <w:i/>
          <w:iCs/>
        </w:rPr>
        <w:t>Neuroimage</w:t>
      </w:r>
      <w:r>
        <w:t xml:space="preserve">, </w:t>
      </w:r>
      <w:r>
        <w:rPr>
          <w:i/>
          <w:iCs/>
        </w:rPr>
        <w:t>59</w:t>
      </w:r>
      <w:r>
        <w:t>(2), 1735–1744.</w:t>
      </w:r>
    </w:p>
    <w:p w14:paraId="090146F0" w14:textId="77777777" w:rsidR="007E34BB" w:rsidRDefault="00000000">
      <w:pPr>
        <w:pStyle w:val="Bibliography"/>
      </w:pPr>
      <w:bookmarkStart w:id="51" w:name="ref-newman2006infants"/>
      <w:bookmarkEnd w:id="50"/>
      <w:r>
        <w:lastRenderedPageBreak/>
        <w:t xml:space="preserve">Newman, R., Ratner, N. B., Jusczyk, A. M., Jusczyk, P. W., &amp; Dow, K. A. (2006). Infants’ early ability to segment the conversational speech signal predicts later language development: A retrospective analysis. </w:t>
      </w:r>
      <w:r>
        <w:rPr>
          <w:i/>
          <w:iCs/>
        </w:rPr>
        <w:t>Developmental Psychology</w:t>
      </w:r>
      <w:r>
        <w:t xml:space="preserve">, </w:t>
      </w:r>
      <w:r>
        <w:rPr>
          <w:i/>
          <w:iCs/>
        </w:rPr>
        <w:t>42</w:t>
      </w:r>
      <w:r>
        <w:t>(4), 643.</w:t>
      </w:r>
    </w:p>
    <w:p w14:paraId="110B0E2D" w14:textId="77777777" w:rsidR="007E34BB" w:rsidRDefault="00000000">
      <w:pPr>
        <w:pStyle w:val="Bibliography"/>
      </w:pPr>
      <w:bookmarkStart w:id="52" w:name="ref-newman2016input"/>
      <w:bookmarkEnd w:id="51"/>
      <w:r>
        <w:t xml:space="preserve">Newman, R., Rowe, M. L., &amp; Ratner, N. B. (2016). Input and uptake at 7 months predicts toddler vocabulary: The role of child-directed speech and infant processing skills in language development. </w:t>
      </w:r>
      <w:r>
        <w:rPr>
          <w:i/>
          <w:iCs/>
        </w:rPr>
        <w:t>Journal of Child Language</w:t>
      </w:r>
      <w:r>
        <w:t xml:space="preserve">, </w:t>
      </w:r>
      <w:r>
        <w:rPr>
          <w:i/>
          <w:iCs/>
        </w:rPr>
        <w:t>43</w:t>
      </w:r>
      <w:r>
        <w:t>(5), 1158–1173.</w:t>
      </w:r>
    </w:p>
    <w:p w14:paraId="702B9588" w14:textId="77777777" w:rsidR="007E34BB" w:rsidRDefault="00000000">
      <w:pPr>
        <w:pStyle w:val="Bibliography"/>
      </w:pPr>
      <w:bookmarkStart w:id="53" w:name="ref-oakes2017sample"/>
      <w:bookmarkEnd w:id="52"/>
      <w:r>
        <w:t xml:space="preserve">Oakes, L. M. (2017). Sample size, statistical power, and false conclusions in infant looking-time research. </w:t>
      </w:r>
      <w:r>
        <w:rPr>
          <w:i/>
          <w:iCs/>
        </w:rPr>
        <w:t>Infancy</w:t>
      </w:r>
      <w:r>
        <w:t xml:space="preserve">, </w:t>
      </w:r>
      <w:r>
        <w:rPr>
          <w:i/>
          <w:iCs/>
        </w:rPr>
        <w:t>22</w:t>
      </w:r>
      <w:r>
        <w:t>(4), 436–469.</w:t>
      </w:r>
    </w:p>
    <w:p w14:paraId="531483A8" w14:textId="77777777" w:rsidR="007E34BB" w:rsidRDefault="00000000">
      <w:pPr>
        <w:pStyle w:val="Bibliography"/>
      </w:pPr>
      <w:bookmarkStart w:id="54" w:name="ref-oliveira_reliability_2023"/>
      <w:bookmarkEnd w:id="53"/>
      <w:r>
        <w:t xml:space="preserve">Oliveira, C. M., Hayiou-Thomas, M. E., &amp; Henderson, L. M. (2023). The reliability of the serial reaction time task: Meta-analysis of test–retest correlations. </w:t>
      </w:r>
      <w:r>
        <w:rPr>
          <w:i/>
          <w:iCs/>
        </w:rPr>
        <w:t>Royal Society Open Science</w:t>
      </w:r>
      <w:r>
        <w:t xml:space="preserve">, </w:t>
      </w:r>
      <w:r>
        <w:rPr>
          <w:i/>
          <w:iCs/>
        </w:rPr>
        <w:t>10</w:t>
      </w:r>
      <w:r>
        <w:t xml:space="preserve">(7), 221542. </w:t>
      </w:r>
      <w:hyperlink r:id="rId18">
        <w:r>
          <w:rPr>
            <w:rStyle w:val="Hyperlink"/>
          </w:rPr>
          <w:t>https://doi.org/10.1098/rsos.221542</w:t>
        </w:r>
      </w:hyperlink>
    </w:p>
    <w:p w14:paraId="550BAA9B" w14:textId="77777777" w:rsidR="007E34BB" w:rsidRDefault="00000000">
      <w:pPr>
        <w:pStyle w:val="Bibliography"/>
      </w:pPr>
      <w:bookmarkStart w:id="55" w:name="ref-rouder_psychometrics_2019"/>
      <w:bookmarkEnd w:id="54"/>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19">
        <w:r>
          <w:rPr>
            <w:rStyle w:val="Hyperlink"/>
          </w:rPr>
          <w:t>https://doi.org/10.3758/s13423-018-1558-y</w:t>
        </w:r>
      </w:hyperlink>
    </w:p>
    <w:p w14:paraId="3B9CEFB3" w14:textId="77777777" w:rsidR="007E34BB" w:rsidRDefault="00000000">
      <w:pPr>
        <w:pStyle w:val="Bibliography"/>
      </w:pPr>
      <w:bookmarkStart w:id="56" w:name="ref-santolin_experience_2021"/>
      <w:bookmarkEnd w:id="55"/>
      <w:r>
        <w:t xml:space="preserve">Santolin, C., Garcia-Castro, G., Zettersten, M., Sebastian-Galles, N., &amp; Saffran, J. R. (2021). Experience with research paradigms relates to infants’ direction of preference. </w:t>
      </w:r>
      <w:r>
        <w:rPr>
          <w:i/>
          <w:iCs/>
        </w:rPr>
        <w:t>Infancy</w:t>
      </w:r>
      <w:r>
        <w:t xml:space="preserve">, </w:t>
      </w:r>
      <w:r>
        <w:rPr>
          <w:i/>
          <w:iCs/>
        </w:rPr>
        <w:t>26</w:t>
      </w:r>
      <w:r>
        <w:t xml:space="preserve">(1), 39–46. </w:t>
      </w:r>
      <w:hyperlink r:id="rId20">
        <w:r>
          <w:rPr>
            <w:rStyle w:val="Hyperlink"/>
          </w:rPr>
          <w:t>https://doi.org/10.1111/infa.12372</w:t>
        </w:r>
      </w:hyperlink>
    </w:p>
    <w:p w14:paraId="0EA47561" w14:textId="77777777" w:rsidR="007E34BB" w:rsidRDefault="00000000">
      <w:pPr>
        <w:pStyle w:val="Bibliography"/>
      </w:pPr>
      <w:bookmarkStart w:id="57" w:name="ref-schreiner2017listen"/>
      <w:bookmarkEnd w:id="56"/>
      <w:r>
        <w:t xml:space="preserve">Schreiner, M. S., &amp; Mani, N. (2017). Listen up! Developmental differences in the impact of IDS on speech segmentation. </w:t>
      </w:r>
      <w:r>
        <w:rPr>
          <w:i/>
          <w:iCs/>
        </w:rPr>
        <w:t>Cognition</w:t>
      </w:r>
      <w:r>
        <w:t xml:space="preserve">, </w:t>
      </w:r>
      <w:r>
        <w:rPr>
          <w:i/>
          <w:iCs/>
        </w:rPr>
        <w:t>160</w:t>
      </w:r>
      <w:r>
        <w:t>, 98–102.</w:t>
      </w:r>
    </w:p>
    <w:p w14:paraId="5637CB6D" w14:textId="77777777" w:rsidR="007E34BB" w:rsidRDefault="00000000">
      <w:pPr>
        <w:pStyle w:val="Bibliography"/>
      </w:pPr>
      <w:bookmarkStart w:id="58" w:name="ref-lookit2017_1"/>
      <w:bookmarkEnd w:id="57"/>
      <w:r>
        <w:t xml:space="preserve">Scott, K. M., &amp; Schulz, L. E. (2017). Lookit (part 1): A new online platform for developmental research. </w:t>
      </w:r>
      <w:r>
        <w:rPr>
          <w:i/>
          <w:iCs/>
        </w:rPr>
        <w:t>Open Mind</w:t>
      </w:r>
      <w:r>
        <w:t xml:space="preserve">, </w:t>
      </w:r>
      <w:r>
        <w:rPr>
          <w:i/>
          <w:iCs/>
        </w:rPr>
        <w:t>1</w:t>
      </w:r>
      <w:r>
        <w:t xml:space="preserve">(1), 4–14. </w:t>
      </w:r>
      <w:hyperlink r:id="rId21">
        <w:r>
          <w:rPr>
            <w:rStyle w:val="Hyperlink"/>
          </w:rPr>
          <w:t>https://doi.org/doi:10.1162/opmi_a_00002</w:t>
        </w:r>
      </w:hyperlink>
    </w:p>
    <w:p w14:paraId="3583EF7D" w14:textId="77777777" w:rsidR="007E34BB" w:rsidRDefault="00000000">
      <w:pPr>
        <w:pStyle w:val="Bibliography"/>
      </w:pPr>
      <w:bookmarkStart w:id="59" w:name="ref-silverstein2021infants"/>
      <w:bookmarkEnd w:id="58"/>
      <w:r>
        <w:lastRenderedPageBreak/>
        <w:t xml:space="preserve">Silverstein, P., Feng, J., Westermann, G., Parise, E., &amp; Twomey, K. E. (2021). Infants learn to follow gaze in stages: Evidence confirming a robotic prediction. </w:t>
      </w:r>
      <w:r>
        <w:rPr>
          <w:i/>
          <w:iCs/>
        </w:rPr>
        <w:t>Open Mind</w:t>
      </w:r>
      <w:r>
        <w:t>, 1–15.</w:t>
      </w:r>
    </w:p>
    <w:p w14:paraId="21874E8D" w14:textId="77777777" w:rsidR="007E34BB" w:rsidRDefault="00000000">
      <w:pPr>
        <w:pStyle w:val="Bibliography"/>
      </w:pPr>
      <w:bookmarkStart w:id="60" w:name="ref-singh2009influences"/>
      <w:bookmarkEnd w:id="59"/>
      <w:r>
        <w:t xml:space="preserve">Singh, L., Nestor, S., Parikh, C., &amp; Yull, A. (2009). Influences of infant-directed speech on early word recognition. </w:t>
      </w:r>
      <w:r>
        <w:rPr>
          <w:i/>
          <w:iCs/>
        </w:rPr>
        <w:t>Infancy</w:t>
      </w:r>
      <w:r>
        <w:t xml:space="preserve">, </w:t>
      </w:r>
      <w:r>
        <w:rPr>
          <w:i/>
          <w:iCs/>
        </w:rPr>
        <w:t>14</w:t>
      </w:r>
      <w:r>
        <w:t>(6), 654–666.</w:t>
      </w:r>
    </w:p>
    <w:p w14:paraId="5EDD3D47" w14:textId="77777777" w:rsidR="007E34BB" w:rsidRDefault="00000000">
      <w:pPr>
        <w:pStyle w:val="Bibliography"/>
      </w:pPr>
      <w:bookmarkStart w:id="61" w:name="ref-thiessen2005infant"/>
      <w:bookmarkEnd w:id="60"/>
      <w:r>
        <w:t xml:space="preserve">Thiessen, E. D., Hill, E. A., &amp; Saffran, J. R. (2005). Infant-directed speech facilitates word segmentation. </w:t>
      </w:r>
      <w:r>
        <w:rPr>
          <w:i/>
          <w:iCs/>
        </w:rPr>
        <w:t>Infancy</w:t>
      </w:r>
      <w:r>
        <w:t xml:space="preserve">, </w:t>
      </w:r>
      <w:r>
        <w:rPr>
          <w:i/>
          <w:iCs/>
        </w:rPr>
        <w:t>7</w:t>
      </w:r>
      <w:r>
        <w:t xml:space="preserve">(1), 53–71. </w:t>
      </w:r>
      <w:hyperlink r:id="rId22">
        <w:r>
          <w:rPr>
            <w:rStyle w:val="Hyperlink"/>
          </w:rPr>
          <w:t>https://doi.org/10.1207/s15327078in0701_5</w:t>
        </w:r>
      </w:hyperlink>
    </w:p>
    <w:p w14:paraId="6884C6A0" w14:textId="77777777" w:rsidR="007E34BB" w:rsidRDefault="00000000">
      <w:pPr>
        <w:pStyle w:val="Bibliography"/>
      </w:pPr>
      <w:bookmarkStart w:id="62" w:name="ref-weaver_2022"/>
      <w:bookmarkEnd w:id="61"/>
      <w:r>
        <w:t xml:space="preserve">Weaver, H., Zettersten, M., &amp; Saffran, J. (2022). </w:t>
      </w:r>
      <w:r>
        <w:rPr>
          <w:i/>
          <w:iCs/>
        </w:rPr>
        <w:t>Becoming word meaning experts: Infants’ processing of familiar words in the context of typical and atypical exemplars.</w:t>
      </w:r>
      <w:r>
        <w:t xml:space="preserve"> [Preprint]. PsyArXiv. </w:t>
      </w:r>
      <w:hyperlink r:id="rId23">
        <w:r>
          <w:rPr>
            <w:rStyle w:val="Hyperlink"/>
          </w:rPr>
          <w:t>https://doi.org/10.31234/osf.io/njh38</w:t>
        </w:r>
      </w:hyperlink>
    </w:p>
    <w:p w14:paraId="48C4CF4D" w14:textId="77777777" w:rsidR="007E34BB" w:rsidRDefault="00000000">
      <w:pPr>
        <w:pStyle w:val="Bibliography"/>
        <w:rPr>
          <w:rStyle w:val="Hyperlink"/>
        </w:rPr>
      </w:pPr>
      <w:bookmarkStart w:id="63" w:name="ref-zangl2007increased"/>
      <w:bookmarkEnd w:id="62"/>
      <w:r>
        <w:t xml:space="preserve">Zangl, R., &amp; Mills, D. L. (2007). Increased brain activity to infant-directed speech in 6-and 13-month-old infants. </w:t>
      </w:r>
      <w:r>
        <w:rPr>
          <w:i/>
          <w:iCs/>
        </w:rPr>
        <w:t>Infancy</w:t>
      </w:r>
      <w:r>
        <w:t xml:space="preserve">, </w:t>
      </w:r>
      <w:r>
        <w:rPr>
          <w:i/>
          <w:iCs/>
        </w:rPr>
        <w:t>11</w:t>
      </w:r>
      <w:r>
        <w:t xml:space="preserve">(1), 31–62. </w:t>
      </w:r>
      <w:hyperlink r:id="rId24">
        <w:r>
          <w:rPr>
            <w:rStyle w:val="Hyperlink"/>
          </w:rPr>
          <w:t>https://doi.org/10.1207/s15327078in1101_2</w:t>
        </w:r>
      </w:hyperlink>
      <w:bookmarkEnd w:id="19"/>
      <w:bookmarkEnd w:id="21"/>
      <w:bookmarkEnd w:id="63"/>
    </w:p>
    <w:p w14:paraId="739CD55D" w14:textId="4E229248" w:rsidR="00975F7E" w:rsidRDefault="00975F7E">
      <w:pPr>
        <w:spacing w:before="0" w:after="200" w:line="240" w:lineRule="auto"/>
        <w:rPr>
          <w:rStyle w:val="Hyperlink"/>
        </w:rPr>
      </w:pPr>
      <w:r>
        <w:rPr>
          <w:rStyle w:val="Hyperlink"/>
        </w:rPr>
        <w:br w:type="page"/>
      </w:r>
    </w:p>
    <w:p w14:paraId="696308F1" w14:textId="57025A05" w:rsidR="00975F7E" w:rsidRDefault="00975F7E" w:rsidP="00582115">
      <w:pPr>
        <w:pStyle w:val="FirstParagraph"/>
        <w:ind w:firstLine="0"/>
      </w:pPr>
      <w:r>
        <w:lastRenderedPageBreak/>
        <w:t>Table 1</w:t>
      </w:r>
    </w:p>
    <w:p w14:paraId="175AE1DE" w14:textId="77777777" w:rsidR="00975F7E" w:rsidRDefault="00975F7E" w:rsidP="00975F7E">
      <w:pPr>
        <w:pStyle w:val="TableCaption"/>
      </w:pPr>
      <w:r>
        <w:rPr>
          <w:iCs/>
        </w:rPr>
        <w:t>Statistics of the included labs. N refers to the number of infants included in the final analysis.</w:t>
      </w:r>
    </w:p>
    <w:tbl>
      <w:tblPr>
        <w:tblStyle w:val="Table"/>
        <w:tblW w:w="0" w:type="auto"/>
        <w:tblLook w:val="0020" w:firstRow="1" w:lastRow="0" w:firstColumn="0" w:lastColumn="0" w:noHBand="0" w:noVBand="0"/>
      </w:tblPr>
      <w:tblGrid>
        <w:gridCol w:w="1869"/>
        <w:gridCol w:w="1676"/>
        <w:gridCol w:w="1283"/>
        <w:gridCol w:w="1816"/>
        <w:gridCol w:w="456"/>
      </w:tblGrid>
      <w:tr w:rsidR="00975F7E" w14:paraId="65D4DE1B"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1497ACBC" w14:textId="77777777" w:rsidR="00975F7E" w:rsidRDefault="00975F7E" w:rsidP="00EC365B">
            <w:pPr>
              <w:pStyle w:val="Compact"/>
            </w:pPr>
            <w:r>
              <w:t>Lab</w:t>
            </w:r>
          </w:p>
        </w:tc>
        <w:tc>
          <w:tcPr>
            <w:tcW w:w="0" w:type="auto"/>
          </w:tcPr>
          <w:p w14:paraId="19CA6CC9" w14:textId="77777777" w:rsidR="00975F7E" w:rsidRDefault="00975F7E" w:rsidP="00EC365B">
            <w:pPr>
              <w:pStyle w:val="Compact"/>
            </w:pPr>
            <w:r>
              <w:t>Method</w:t>
            </w:r>
          </w:p>
        </w:tc>
        <w:tc>
          <w:tcPr>
            <w:tcW w:w="0" w:type="auto"/>
          </w:tcPr>
          <w:p w14:paraId="05BC0F40" w14:textId="77777777" w:rsidR="00975F7E" w:rsidRDefault="00975F7E" w:rsidP="00EC365B">
            <w:pPr>
              <w:pStyle w:val="Compact"/>
            </w:pPr>
            <w:r>
              <w:t>Language</w:t>
            </w:r>
          </w:p>
        </w:tc>
        <w:tc>
          <w:tcPr>
            <w:tcW w:w="0" w:type="auto"/>
          </w:tcPr>
          <w:p w14:paraId="1AA1AE85" w14:textId="77777777" w:rsidR="00975F7E" w:rsidRDefault="00975F7E" w:rsidP="00EC365B">
            <w:pPr>
              <w:pStyle w:val="Compact"/>
            </w:pPr>
            <w:r>
              <w:t>Mean age (days)</w:t>
            </w:r>
          </w:p>
        </w:tc>
        <w:tc>
          <w:tcPr>
            <w:tcW w:w="0" w:type="auto"/>
          </w:tcPr>
          <w:p w14:paraId="47B0D47F" w14:textId="77777777" w:rsidR="00975F7E" w:rsidRDefault="00975F7E" w:rsidP="00EC365B">
            <w:pPr>
              <w:pStyle w:val="Compact"/>
            </w:pPr>
            <w:r>
              <w:t>N</w:t>
            </w:r>
          </w:p>
        </w:tc>
      </w:tr>
      <w:tr w:rsidR="00975F7E" w14:paraId="4FD7CD71" w14:textId="77777777" w:rsidTr="00EC365B">
        <w:tc>
          <w:tcPr>
            <w:tcW w:w="0" w:type="auto"/>
          </w:tcPr>
          <w:p w14:paraId="3259A713" w14:textId="77777777" w:rsidR="00975F7E" w:rsidRDefault="00975F7E" w:rsidP="00EC365B">
            <w:pPr>
              <w:pStyle w:val="Compact"/>
            </w:pPr>
            <w:proofErr w:type="spellStart"/>
            <w:r>
              <w:t>InfantCog</w:t>
            </w:r>
            <w:proofErr w:type="spellEnd"/>
            <w:r>
              <w:t>-UBC</w:t>
            </w:r>
          </w:p>
        </w:tc>
        <w:tc>
          <w:tcPr>
            <w:tcW w:w="0" w:type="auto"/>
          </w:tcPr>
          <w:p w14:paraId="346B41A5" w14:textId="77777777" w:rsidR="00975F7E" w:rsidRDefault="00975F7E" w:rsidP="00EC365B">
            <w:pPr>
              <w:pStyle w:val="Compact"/>
            </w:pPr>
            <w:r>
              <w:t>central fixation</w:t>
            </w:r>
          </w:p>
        </w:tc>
        <w:tc>
          <w:tcPr>
            <w:tcW w:w="0" w:type="auto"/>
          </w:tcPr>
          <w:p w14:paraId="11C22432" w14:textId="77777777" w:rsidR="00975F7E" w:rsidRDefault="00975F7E" w:rsidP="00EC365B">
            <w:pPr>
              <w:pStyle w:val="Compact"/>
            </w:pPr>
            <w:r>
              <w:t>English</w:t>
            </w:r>
          </w:p>
        </w:tc>
        <w:tc>
          <w:tcPr>
            <w:tcW w:w="0" w:type="auto"/>
          </w:tcPr>
          <w:p w14:paraId="5FF3500E" w14:textId="77777777" w:rsidR="00975F7E" w:rsidRDefault="00975F7E" w:rsidP="00EC365B">
            <w:pPr>
              <w:pStyle w:val="Compact"/>
            </w:pPr>
            <w:r>
              <w:t>147</w:t>
            </w:r>
          </w:p>
        </w:tc>
        <w:tc>
          <w:tcPr>
            <w:tcW w:w="0" w:type="auto"/>
          </w:tcPr>
          <w:p w14:paraId="14530447" w14:textId="77777777" w:rsidR="00975F7E" w:rsidRDefault="00975F7E" w:rsidP="00EC365B">
            <w:pPr>
              <w:pStyle w:val="Compact"/>
            </w:pPr>
            <w:r>
              <w:t>7</w:t>
            </w:r>
          </w:p>
        </w:tc>
      </w:tr>
      <w:tr w:rsidR="00975F7E" w14:paraId="5540B676" w14:textId="77777777" w:rsidTr="00EC365B">
        <w:tc>
          <w:tcPr>
            <w:tcW w:w="0" w:type="auto"/>
          </w:tcPr>
          <w:p w14:paraId="24F143FD" w14:textId="77777777" w:rsidR="00975F7E" w:rsidRDefault="00975F7E" w:rsidP="00EC365B">
            <w:pPr>
              <w:pStyle w:val="Compact"/>
            </w:pPr>
            <w:proofErr w:type="spellStart"/>
            <w:r>
              <w:t>babylab-potsdam</w:t>
            </w:r>
            <w:proofErr w:type="spellEnd"/>
          </w:p>
        </w:tc>
        <w:tc>
          <w:tcPr>
            <w:tcW w:w="0" w:type="auto"/>
          </w:tcPr>
          <w:p w14:paraId="56CA15E1" w14:textId="77777777" w:rsidR="00975F7E" w:rsidRDefault="00975F7E" w:rsidP="00EC365B">
            <w:pPr>
              <w:pStyle w:val="Compact"/>
            </w:pPr>
            <w:r>
              <w:t>HPP</w:t>
            </w:r>
          </w:p>
        </w:tc>
        <w:tc>
          <w:tcPr>
            <w:tcW w:w="0" w:type="auto"/>
          </w:tcPr>
          <w:p w14:paraId="21B631D5" w14:textId="77777777" w:rsidR="00975F7E" w:rsidRDefault="00975F7E" w:rsidP="00EC365B">
            <w:pPr>
              <w:pStyle w:val="Compact"/>
            </w:pPr>
            <w:r>
              <w:t>German</w:t>
            </w:r>
          </w:p>
        </w:tc>
        <w:tc>
          <w:tcPr>
            <w:tcW w:w="0" w:type="auto"/>
          </w:tcPr>
          <w:p w14:paraId="65A26ABB" w14:textId="77777777" w:rsidR="00975F7E" w:rsidRDefault="00975F7E" w:rsidP="00EC365B">
            <w:pPr>
              <w:pStyle w:val="Compact"/>
            </w:pPr>
            <w:r>
              <w:t>227</w:t>
            </w:r>
          </w:p>
        </w:tc>
        <w:tc>
          <w:tcPr>
            <w:tcW w:w="0" w:type="auto"/>
          </w:tcPr>
          <w:p w14:paraId="22E5642C" w14:textId="77777777" w:rsidR="00975F7E" w:rsidRDefault="00975F7E" w:rsidP="00EC365B">
            <w:pPr>
              <w:pStyle w:val="Compact"/>
            </w:pPr>
            <w:r>
              <w:t>22</w:t>
            </w:r>
          </w:p>
        </w:tc>
      </w:tr>
      <w:tr w:rsidR="00975F7E" w14:paraId="7C9AB666" w14:textId="77777777" w:rsidTr="00EC365B">
        <w:tc>
          <w:tcPr>
            <w:tcW w:w="0" w:type="auto"/>
          </w:tcPr>
          <w:p w14:paraId="2EA4BBD6" w14:textId="77777777" w:rsidR="00975F7E" w:rsidRDefault="00975F7E" w:rsidP="00EC365B">
            <w:pPr>
              <w:pStyle w:val="Compact"/>
            </w:pPr>
            <w:proofErr w:type="spellStart"/>
            <w:r>
              <w:t>babyling-oslo</w:t>
            </w:r>
            <w:proofErr w:type="spellEnd"/>
          </w:p>
        </w:tc>
        <w:tc>
          <w:tcPr>
            <w:tcW w:w="0" w:type="auto"/>
          </w:tcPr>
          <w:p w14:paraId="00C6DAF6" w14:textId="77777777" w:rsidR="00975F7E" w:rsidRDefault="00975F7E" w:rsidP="00EC365B">
            <w:pPr>
              <w:pStyle w:val="Compact"/>
            </w:pPr>
            <w:r>
              <w:t>eye-tracking</w:t>
            </w:r>
          </w:p>
        </w:tc>
        <w:tc>
          <w:tcPr>
            <w:tcW w:w="0" w:type="auto"/>
          </w:tcPr>
          <w:p w14:paraId="67CAB727" w14:textId="77777777" w:rsidR="00975F7E" w:rsidRDefault="00975F7E" w:rsidP="00EC365B">
            <w:pPr>
              <w:pStyle w:val="Compact"/>
            </w:pPr>
            <w:r>
              <w:t>Norwegian</w:t>
            </w:r>
          </w:p>
        </w:tc>
        <w:tc>
          <w:tcPr>
            <w:tcW w:w="0" w:type="auto"/>
          </w:tcPr>
          <w:p w14:paraId="66E13E51" w14:textId="77777777" w:rsidR="00975F7E" w:rsidRDefault="00975F7E" w:rsidP="00EC365B">
            <w:pPr>
              <w:pStyle w:val="Compact"/>
            </w:pPr>
            <w:r>
              <w:t>249</w:t>
            </w:r>
          </w:p>
        </w:tc>
        <w:tc>
          <w:tcPr>
            <w:tcW w:w="0" w:type="auto"/>
          </w:tcPr>
          <w:p w14:paraId="6A2084FC" w14:textId="77777777" w:rsidR="00975F7E" w:rsidRDefault="00975F7E" w:rsidP="00EC365B">
            <w:pPr>
              <w:pStyle w:val="Compact"/>
            </w:pPr>
            <w:r>
              <w:t>10</w:t>
            </w:r>
          </w:p>
        </w:tc>
      </w:tr>
      <w:tr w:rsidR="00975F7E" w14:paraId="5B857737" w14:textId="77777777" w:rsidTr="00EC365B">
        <w:tc>
          <w:tcPr>
            <w:tcW w:w="0" w:type="auto"/>
          </w:tcPr>
          <w:p w14:paraId="565454C0" w14:textId="77777777" w:rsidR="00975F7E" w:rsidRDefault="00975F7E" w:rsidP="00EC365B">
            <w:pPr>
              <w:pStyle w:val="Compact"/>
            </w:pPr>
            <w:proofErr w:type="spellStart"/>
            <w:r>
              <w:t>brookes-babylab</w:t>
            </w:r>
            <w:proofErr w:type="spellEnd"/>
          </w:p>
        </w:tc>
        <w:tc>
          <w:tcPr>
            <w:tcW w:w="0" w:type="auto"/>
          </w:tcPr>
          <w:p w14:paraId="7C442097" w14:textId="77777777" w:rsidR="00975F7E" w:rsidRDefault="00975F7E" w:rsidP="00EC365B">
            <w:pPr>
              <w:pStyle w:val="Compact"/>
            </w:pPr>
            <w:r>
              <w:t>central fixation</w:t>
            </w:r>
          </w:p>
        </w:tc>
        <w:tc>
          <w:tcPr>
            <w:tcW w:w="0" w:type="auto"/>
          </w:tcPr>
          <w:p w14:paraId="5CA32EB3" w14:textId="77777777" w:rsidR="00975F7E" w:rsidRDefault="00975F7E" w:rsidP="00EC365B">
            <w:pPr>
              <w:pStyle w:val="Compact"/>
            </w:pPr>
            <w:r>
              <w:t>English</w:t>
            </w:r>
          </w:p>
        </w:tc>
        <w:tc>
          <w:tcPr>
            <w:tcW w:w="0" w:type="auto"/>
          </w:tcPr>
          <w:p w14:paraId="7B436DCD" w14:textId="77777777" w:rsidR="00975F7E" w:rsidRDefault="00975F7E" w:rsidP="00EC365B">
            <w:pPr>
              <w:pStyle w:val="Compact"/>
            </w:pPr>
            <w:r>
              <w:t>267</w:t>
            </w:r>
          </w:p>
        </w:tc>
        <w:tc>
          <w:tcPr>
            <w:tcW w:w="0" w:type="auto"/>
          </w:tcPr>
          <w:p w14:paraId="64D85D70" w14:textId="77777777" w:rsidR="00975F7E" w:rsidRDefault="00975F7E" w:rsidP="00EC365B">
            <w:pPr>
              <w:pStyle w:val="Compact"/>
            </w:pPr>
            <w:r>
              <w:t>18</w:t>
            </w:r>
          </w:p>
        </w:tc>
      </w:tr>
      <w:tr w:rsidR="00975F7E" w14:paraId="75005086" w14:textId="77777777" w:rsidTr="00EC365B">
        <w:tc>
          <w:tcPr>
            <w:tcW w:w="0" w:type="auto"/>
          </w:tcPr>
          <w:p w14:paraId="2A3B578B" w14:textId="77777777" w:rsidR="00975F7E" w:rsidRDefault="00975F7E" w:rsidP="00EC365B">
            <w:pPr>
              <w:pStyle w:val="Compact"/>
            </w:pPr>
            <w:proofErr w:type="spellStart"/>
            <w:r>
              <w:t>infantll-madison</w:t>
            </w:r>
            <w:proofErr w:type="spellEnd"/>
          </w:p>
        </w:tc>
        <w:tc>
          <w:tcPr>
            <w:tcW w:w="0" w:type="auto"/>
          </w:tcPr>
          <w:p w14:paraId="419A2BD0" w14:textId="77777777" w:rsidR="00975F7E" w:rsidRDefault="00975F7E" w:rsidP="00EC365B">
            <w:pPr>
              <w:pStyle w:val="Compact"/>
            </w:pPr>
            <w:r>
              <w:t>HPP</w:t>
            </w:r>
          </w:p>
        </w:tc>
        <w:tc>
          <w:tcPr>
            <w:tcW w:w="0" w:type="auto"/>
          </w:tcPr>
          <w:p w14:paraId="528FACDE" w14:textId="77777777" w:rsidR="00975F7E" w:rsidRDefault="00975F7E" w:rsidP="00EC365B">
            <w:pPr>
              <w:pStyle w:val="Compact"/>
            </w:pPr>
            <w:r>
              <w:t>English</w:t>
            </w:r>
          </w:p>
        </w:tc>
        <w:tc>
          <w:tcPr>
            <w:tcW w:w="0" w:type="auto"/>
          </w:tcPr>
          <w:p w14:paraId="6CE7A679" w14:textId="77777777" w:rsidR="00975F7E" w:rsidRDefault="00975F7E" w:rsidP="00EC365B">
            <w:pPr>
              <w:pStyle w:val="Compact"/>
            </w:pPr>
            <w:r>
              <w:t>230</w:t>
            </w:r>
          </w:p>
        </w:tc>
        <w:tc>
          <w:tcPr>
            <w:tcW w:w="0" w:type="auto"/>
          </w:tcPr>
          <w:p w14:paraId="0DEA6A65" w14:textId="77777777" w:rsidR="00975F7E" w:rsidRDefault="00975F7E" w:rsidP="00EC365B">
            <w:pPr>
              <w:pStyle w:val="Compact"/>
            </w:pPr>
            <w:r>
              <w:t>30</w:t>
            </w:r>
          </w:p>
        </w:tc>
      </w:tr>
      <w:tr w:rsidR="00975F7E" w14:paraId="689104B0" w14:textId="77777777" w:rsidTr="00EC365B">
        <w:tc>
          <w:tcPr>
            <w:tcW w:w="0" w:type="auto"/>
          </w:tcPr>
          <w:p w14:paraId="281E087C" w14:textId="77777777" w:rsidR="00975F7E" w:rsidRDefault="00975F7E" w:rsidP="00EC365B">
            <w:pPr>
              <w:pStyle w:val="Compact"/>
            </w:pPr>
            <w:proofErr w:type="spellStart"/>
            <w:r>
              <w:t>lancslab</w:t>
            </w:r>
            <w:proofErr w:type="spellEnd"/>
          </w:p>
        </w:tc>
        <w:tc>
          <w:tcPr>
            <w:tcW w:w="0" w:type="auto"/>
          </w:tcPr>
          <w:p w14:paraId="233854CA" w14:textId="77777777" w:rsidR="00975F7E" w:rsidRDefault="00975F7E" w:rsidP="00EC365B">
            <w:pPr>
              <w:pStyle w:val="Compact"/>
            </w:pPr>
            <w:r>
              <w:t>eye-tracking</w:t>
            </w:r>
          </w:p>
        </w:tc>
        <w:tc>
          <w:tcPr>
            <w:tcW w:w="0" w:type="auto"/>
          </w:tcPr>
          <w:p w14:paraId="431997C2" w14:textId="77777777" w:rsidR="00975F7E" w:rsidRDefault="00975F7E" w:rsidP="00EC365B">
            <w:pPr>
              <w:pStyle w:val="Compact"/>
            </w:pPr>
            <w:r>
              <w:t>English</w:t>
            </w:r>
          </w:p>
        </w:tc>
        <w:tc>
          <w:tcPr>
            <w:tcW w:w="0" w:type="auto"/>
          </w:tcPr>
          <w:p w14:paraId="47DFC72A" w14:textId="77777777" w:rsidR="00975F7E" w:rsidRDefault="00975F7E" w:rsidP="00EC365B">
            <w:pPr>
              <w:pStyle w:val="Compact"/>
            </w:pPr>
            <w:r>
              <w:t>236</w:t>
            </w:r>
          </w:p>
        </w:tc>
        <w:tc>
          <w:tcPr>
            <w:tcW w:w="0" w:type="auto"/>
          </w:tcPr>
          <w:p w14:paraId="6EE8805B" w14:textId="77777777" w:rsidR="00975F7E" w:rsidRDefault="00975F7E" w:rsidP="00EC365B">
            <w:pPr>
              <w:pStyle w:val="Compact"/>
            </w:pPr>
            <w:r>
              <w:t>16</w:t>
            </w:r>
          </w:p>
        </w:tc>
      </w:tr>
      <w:tr w:rsidR="00975F7E" w14:paraId="120F5792" w14:textId="77777777" w:rsidTr="00EC365B">
        <w:tc>
          <w:tcPr>
            <w:tcW w:w="0" w:type="auto"/>
          </w:tcPr>
          <w:p w14:paraId="1E6DC7DB" w14:textId="77777777" w:rsidR="00975F7E" w:rsidRDefault="00975F7E" w:rsidP="00EC365B">
            <w:pPr>
              <w:pStyle w:val="Compact"/>
            </w:pPr>
            <w:proofErr w:type="spellStart"/>
            <w:r>
              <w:t>wsi-goettingen</w:t>
            </w:r>
            <w:proofErr w:type="spellEnd"/>
          </w:p>
        </w:tc>
        <w:tc>
          <w:tcPr>
            <w:tcW w:w="0" w:type="auto"/>
          </w:tcPr>
          <w:p w14:paraId="7498CFF5" w14:textId="77777777" w:rsidR="00975F7E" w:rsidRDefault="00975F7E" w:rsidP="00EC365B">
            <w:pPr>
              <w:pStyle w:val="Compact"/>
            </w:pPr>
            <w:r>
              <w:t>HPP</w:t>
            </w:r>
          </w:p>
        </w:tc>
        <w:tc>
          <w:tcPr>
            <w:tcW w:w="0" w:type="auto"/>
          </w:tcPr>
          <w:p w14:paraId="256EDB13" w14:textId="77777777" w:rsidR="00975F7E" w:rsidRDefault="00975F7E" w:rsidP="00EC365B">
            <w:pPr>
              <w:pStyle w:val="Compact"/>
            </w:pPr>
            <w:r>
              <w:t>German</w:t>
            </w:r>
          </w:p>
        </w:tc>
        <w:tc>
          <w:tcPr>
            <w:tcW w:w="0" w:type="auto"/>
          </w:tcPr>
          <w:p w14:paraId="28D71F20" w14:textId="77777777" w:rsidR="00975F7E" w:rsidRDefault="00975F7E" w:rsidP="00EC365B">
            <w:pPr>
              <w:pStyle w:val="Compact"/>
            </w:pPr>
            <w:r>
              <w:t>242</w:t>
            </w:r>
          </w:p>
        </w:tc>
        <w:tc>
          <w:tcPr>
            <w:tcW w:w="0" w:type="auto"/>
          </w:tcPr>
          <w:p w14:paraId="5FD1E371" w14:textId="77777777" w:rsidR="00975F7E" w:rsidRDefault="00975F7E" w:rsidP="00EC365B">
            <w:pPr>
              <w:pStyle w:val="Compact"/>
            </w:pPr>
            <w:r>
              <w:t>16</w:t>
            </w:r>
          </w:p>
        </w:tc>
      </w:tr>
      <w:tr w:rsidR="00975F7E" w14:paraId="25970699" w14:textId="77777777" w:rsidTr="00EC365B">
        <w:tc>
          <w:tcPr>
            <w:tcW w:w="0" w:type="auto"/>
          </w:tcPr>
          <w:p w14:paraId="719F36A1" w14:textId="77777777" w:rsidR="00975F7E" w:rsidRDefault="00975F7E" w:rsidP="00EC365B">
            <w:pPr>
              <w:pStyle w:val="Compact"/>
            </w:pPr>
            <w:proofErr w:type="spellStart"/>
            <w:r>
              <w:t>wsi-goettingen</w:t>
            </w:r>
            <w:proofErr w:type="spellEnd"/>
          </w:p>
        </w:tc>
        <w:tc>
          <w:tcPr>
            <w:tcW w:w="0" w:type="auto"/>
          </w:tcPr>
          <w:p w14:paraId="03FFC058" w14:textId="77777777" w:rsidR="00975F7E" w:rsidRDefault="00975F7E" w:rsidP="00EC365B">
            <w:pPr>
              <w:pStyle w:val="Compact"/>
            </w:pPr>
            <w:r>
              <w:t>central fixation</w:t>
            </w:r>
          </w:p>
        </w:tc>
        <w:tc>
          <w:tcPr>
            <w:tcW w:w="0" w:type="auto"/>
          </w:tcPr>
          <w:p w14:paraId="05829B35" w14:textId="77777777" w:rsidR="00975F7E" w:rsidRDefault="00975F7E" w:rsidP="00EC365B">
            <w:pPr>
              <w:pStyle w:val="Compact"/>
            </w:pPr>
            <w:r>
              <w:t>German</w:t>
            </w:r>
          </w:p>
        </w:tc>
        <w:tc>
          <w:tcPr>
            <w:tcW w:w="0" w:type="auto"/>
          </w:tcPr>
          <w:p w14:paraId="7E88EC4F" w14:textId="77777777" w:rsidR="00975F7E" w:rsidRDefault="00975F7E" w:rsidP="00EC365B">
            <w:pPr>
              <w:pStyle w:val="Compact"/>
            </w:pPr>
            <w:r>
              <w:t>280</w:t>
            </w:r>
          </w:p>
        </w:tc>
        <w:tc>
          <w:tcPr>
            <w:tcW w:w="0" w:type="auto"/>
          </w:tcPr>
          <w:p w14:paraId="65DE8B68" w14:textId="77777777" w:rsidR="00975F7E" w:rsidRDefault="00975F7E" w:rsidP="00EC365B">
            <w:pPr>
              <w:pStyle w:val="Compact"/>
            </w:pPr>
            <w:r>
              <w:t>39</w:t>
            </w:r>
          </w:p>
        </w:tc>
      </w:tr>
    </w:tbl>
    <w:p w14:paraId="1F52C394" w14:textId="3F62C065" w:rsidR="00582115" w:rsidRDefault="00582115">
      <w:pPr>
        <w:pStyle w:val="Bibliography"/>
      </w:pPr>
    </w:p>
    <w:p w14:paraId="4A7BC61F" w14:textId="77777777" w:rsidR="00582115" w:rsidRDefault="00582115">
      <w:pPr>
        <w:spacing w:before="0" w:after="200" w:line="240" w:lineRule="auto"/>
      </w:pPr>
      <w:r>
        <w:br w:type="page"/>
      </w:r>
    </w:p>
    <w:p w14:paraId="436C3FF6" w14:textId="1EBA3411" w:rsidR="00582115" w:rsidRDefault="00582115" w:rsidP="00582115">
      <w:pPr>
        <w:pStyle w:val="BodyText"/>
        <w:ind w:firstLine="0"/>
      </w:pPr>
      <w:r>
        <w:lastRenderedPageBreak/>
        <w:t>Table 2</w:t>
      </w:r>
    </w:p>
    <w:p w14:paraId="2ADEA872" w14:textId="77777777" w:rsidR="00582115" w:rsidRDefault="00582115" w:rsidP="00582115">
      <w:pPr>
        <w:pStyle w:val="TableCaption"/>
      </w:pPr>
      <w:r>
        <w:rPr>
          <w:iCs/>
        </w:rPr>
        <w:t>Average looking times (in seconds) for each session and condition.</w:t>
      </w:r>
    </w:p>
    <w:tbl>
      <w:tblPr>
        <w:tblStyle w:val="Table"/>
        <w:tblW w:w="0" w:type="auto"/>
        <w:tblLook w:val="0020" w:firstRow="1" w:lastRow="0" w:firstColumn="0" w:lastColumn="0" w:noHBand="0" w:noVBand="0"/>
      </w:tblPr>
      <w:tblGrid>
        <w:gridCol w:w="1156"/>
        <w:gridCol w:w="1736"/>
        <w:gridCol w:w="1490"/>
        <w:gridCol w:w="1736"/>
        <w:gridCol w:w="1490"/>
      </w:tblGrid>
      <w:tr w:rsidR="00582115" w14:paraId="6BCAC4C4"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3AF0DC5B" w14:textId="77777777" w:rsidR="00582115" w:rsidRDefault="00582115" w:rsidP="00EC365B">
            <w:pPr>
              <w:pStyle w:val="Compact"/>
            </w:pPr>
            <w:r>
              <w:t>Trial type</w:t>
            </w:r>
          </w:p>
        </w:tc>
        <w:tc>
          <w:tcPr>
            <w:tcW w:w="0" w:type="auto"/>
          </w:tcPr>
          <w:p w14:paraId="454258B7" w14:textId="77777777" w:rsidR="00582115" w:rsidRDefault="00582115" w:rsidP="00EC365B">
            <w:pPr>
              <w:pStyle w:val="Compact"/>
            </w:pPr>
            <w:r>
              <w:t>Session 1 Mean</w:t>
            </w:r>
          </w:p>
        </w:tc>
        <w:tc>
          <w:tcPr>
            <w:tcW w:w="0" w:type="auto"/>
          </w:tcPr>
          <w:p w14:paraId="1D522D2A" w14:textId="77777777" w:rsidR="00582115" w:rsidRDefault="00582115" w:rsidP="00EC365B">
            <w:pPr>
              <w:pStyle w:val="Compact"/>
            </w:pPr>
            <w:r>
              <w:t xml:space="preserve">Session 1 </w:t>
            </w:r>
            <m:oMath>
              <m:r>
                <w:rPr>
                  <w:rFonts w:ascii="Cambria Math" w:hAnsi="Cambria Math"/>
                </w:rPr>
                <m:t>SD</m:t>
              </m:r>
            </m:oMath>
          </w:p>
        </w:tc>
        <w:tc>
          <w:tcPr>
            <w:tcW w:w="0" w:type="auto"/>
          </w:tcPr>
          <w:p w14:paraId="749B5F13" w14:textId="77777777" w:rsidR="00582115" w:rsidRDefault="00582115" w:rsidP="00EC365B">
            <w:pPr>
              <w:pStyle w:val="Compact"/>
            </w:pPr>
            <w:r>
              <w:t>Session 2 Mean</w:t>
            </w:r>
          </w:p>
        </w:tc>
        <w:tc>
          <w:tcPr>
            <w:tcW w:w="0" w:type="auto"/>
          </w:tcPr>
          <w:p w14:paraId="079B4C4C" w14:textId="77777777" w:rsidR="00582115" w:rsidRDefault="00582115" w:rsidP="00EC365B">
            <w:pPr>
              <w:pStyle w:val="Compact"/>
            </w:pPr>
            <w:r>
              <w:t xml:space="preserve">Session 2 </w:t>
            </w:r>
            <m:oMath>
              <m:r>
                <w:rPr>
                  <w:rFonts w:ascii="Cambria Math" w:hAnsi="Cambria Math"/>
                </w:rPr>
                <m:t>SD</m:t>
              </m:r>
            </m:oMath>
          </w:p>
        </w:tc>
      </w:tr>
      <w:tr w:rsidR="00582115" w14:paraId="6DB269B7" w14:textId="77777777" w:rsidTr="00EC365B">
        <w:tc>
          <w:tcPr>
            <w:tcW w:w="0" w:type="auto"/>
          </w:tcPr>
          <w:p w14:paraId="5CEB8624" w14:textId="77777777" w:rsidR="00582115" w:rsidRDefault="00582115" w:rsidP="00EC365B">
            <w:pPr>
              <w:pStyle w:val="Compact"/>
            </w:pPr>
            <w:r>
              <w:t>ADS</w:t>
            </w:r>
          </w:p>
        </w:tc>
        <w:tc>
          <w:tcPr>
            <w:tcW w:w="0" w:type="auto"/>
          </w:tcPr>
          <w:p w14:paraId="52860558" w14:textId="77777777" w:rsidR="00582115" w:rsidRDefault="00582115" w:rsidP="00EC365B">
            <w:pPr>
              <w:pStyle w:val="Compact"/>
            </w:pPr>
            <w:r>
              <w:t>7.71</w:t>
            </w:r>
          </w:p>
        </w:tc>
        <w:tc>
          <w:tcPr>
            <w:tcW w:w="0" w:type="auto"/>
          </w:tcPr>
          <w:p w14:paraId="7A87DAE1" w14:textId="77777777" w:rsidR="00582115" w:rsidRDefault="00582115" w:rsidP="00EC365B">
            <w:pPr>
              <w:pStyle w:val="Compact"/>
            </w:pPr>
            <w:r>
              <w:t>2.77</w:t>
            </w:r>
          </w:p>
        </w:tc>
        <w:tc>
          <w:tcPr>
            <w:tcW w:w="0" w:type="auto"/>
          </w:tcPr>
          <w:p w14:paraId="48E4E8BE" w14:textId="77777777" w:rsidR="00582115" w:rsidRDefault="00582115" w:rsidP="00EC365B">
            <w:pPr>
              <w:pStyle w:val="Compact"/>
            </w:pPr>
            <w:r>
              <w:t>6.96</w:t>
            </w:r>
          </w:p>
        </w:tc>
        <w:tc>
          <w:tcPr>
            <w:tcW w:w="0" w:type="auto"/>
          </w:tcPr>
          <w:p w14:paraId="10C1965F" w14:textId="77777777" w:rsidR="00582115" w:rsidRDefault="00582115" w:rsidP="00EC365B">
            <w:pPr>
              <w:pStyle w:val="Compact"/>
            </w:pPr>
            <w:r>
              <w:t>2.92</w:t>
            </w:r>
          </w:p>
        </w:tc>
      </w:tr>
      <w:tr w:rsidR="00582115" w14:paraId="3E5CB4B9" w14:textId="77777777" w:rsidTr="00EC365B">
        <w:tc>
          <w:tcPr>
            <w:tcW w:w="0" w:type="auto"/>
          </w:tcPr>
          <w:p w14:paraId="708E7BF3" w14:textId="77777777" w:rsidR="00582115" w:rsidRDefault="00582115" w:rsidP="00EC365B">
            <w:pPr>
              <w:pStyle w:val="Compact"/>
            </w:pPr>
            <w:r>
              <w:t>IDS</w:t>
            </w:r>
          </w:p>
        </w:tc>
        <w:tc>
          <w:tcPr>
            <w:tcW w:w="0" w:type="auto"/>
          </w:tcPr>
          <w:p w14:paraId="25361DD4" w14:textId="77777777" w:rsidR="00582115" w:rsidRDefault="00582115" w:rsidP="00EC365B">
            <w:pPr>
              <w:pStyle w:val="Compact"/>
            </w:pPr>
            <w:r>
              <w:t>8.76</w:t>
            </w:r>
          </w:p>
        </w:tc>
        <w:tc>
          <w:tcPr>
            <w:tcW w:w="0" w:type="auto"/>
          </w:tcPr>
          <w:p w14:paraId="28230DEE" w14:textId="77777777" w:rsidR="00582115" w:rsidRDefault="00582115" w:rsidP="00EC365B">
            <w:pPr>
              <w:pStyle w:val="Compact"/>
            </w:pPr>
            <w:r>
              <w:t>2.84</w:t>
            </w:r>
          </w:p>
        </w:tc>
        <w:tc>
          <w:tcPr>
            <w:tcW w:w="0" w:type="auto"/>
          </w:tcPr>
          <w:p w14:paraId="63DA3AFA" w14:textId="77777777" w:rsidR="00582115" w:rsidRDefault="00582115" w:rsidP="00EC365B">
            <w:pPr>
              <w:pStyle w:val="Compact"/>
            </w:pPr>
            <w:r>
              <w:t>7.75</w:t>
            </w:r>
          </w:p>
        </w:tc>
        <w:tc>
          <w:tcPr>
            <w:tcW w:w="0" w:type="auto"/>
          </w:tcPr>
          <w:p w14:paraId="461568A7" w14:textId="77777777" w:rsidR="00582115" w:rsidRDefault="00582115" w:rsidP="00EC365B">
            <w:pPr>
              <w:pStyle w:val="Compact"/>
            </w:pPr>
            <w:r>
              <w:t>2.75</w:t>
            </w:r>
          </w:p>
        </w:tc>
      </w:tr>
    </w:tbl>
    <w:p w14:paraId="0B6F4FFB" w14:textId="77777777" w:rsidR="00582115" w:rsidRDefault="00582115">
      <w:pPr>
        <w:spacing w:before="0" w:after="200" w:line="240" w:lineRule="auto"/>
      </w:pPr>
      <w:r>
        <w:br w:type="page"/>
      </w:r>
    </w:p>
    <w:p w14:paraId="14923C66" w14:textId="065F2732" w:rsidR="00582115" w:rsidRDefault="00582115" w:rsidP="00582115">
      <w:pPr>
        <w:pStyle w:val="FirstParagraph"/>
        <w:ind w:firstLine="0"/>
      </w:pPr>
      <w:r>
        <w:lastRenderedPageBreak/>
        <w:t>Table 3</w:t>
      </w:r>
    </w:p>
    <w:p w14:paraId="4923C5AF" w14:textId="77777777" w:rsidR="00582115" w:rsidRDefault="00582115" w:rsidP="00582115">
      <w:pPr>
        <w:pStyle w:val="TableCaption"/>
      </w:pPr>
      <w:r>
        <w:rPr>
          <w:iCs/>
        </w:rPr>
        <w:t>Coefficient estimates from a linear mixed effects model predicting IDS preference in Session 2.</w:t>
      </w:r>
    </w:p>
    <w:tbl>
      <w:tblPr>
        <w:tblStyle w:val="Table"/>
        <w:tblW w:w="0" w:type="auto"/>
        <w:tblLook w:val="0020" w:firstRow="1" w:lastRow="0" w:firstColumn="0" w:lastColumn="0" w:noHBand="0" w:noVBand="0"/>
      </w:tblPr>
      <w:tblGrid>
        <w:gridCol w:w="2663"/>
        <w:gridCol w:w="1056"/>
        <w:gridCol w:w="636"/>
        <w:gridCol w:w="636"/>
        <w:gridCol w:w="636"/>
      </w:tblGrid>
      <w:tr w:rsidR="00582115" w14:paraId="301FE7DD"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7C639FFD" w14:textId="77777777" w:rsidR="00582115" w:rsidRDefault="00582115" w:rsidP="00EC365B">
            <w:pPr>
              <w:pStyle w:val="Compact"/>
            </w:pPr>
          </w:p>
        </w:tc>
        <w:tc>
          <w:tcPr>
            <w:tcW w:w="0" w:type="auto"/>
          </w:tcPr>
          <w:p w14:paraId="14FDAFD0" w14:textId="77777777" w:rsidR="00582115" w:rsidRDefault="00582115" w:rsidP="00EC365B">
            <w:pPr>
              <w:pStyle w:val="Compact"/>
            </w:pPr>
            <w:r>
              <w:t>Estimate</w:t>
            </w:r>
          </w:p>
        </w:tc>
        <w:tc>
          <w:tcPr>
            <w:tcW w:w="0" w:type="auto"/>
          </w:tcPr>
          <w:p w14:paraId="634E7EA0" w14:textId="77777777" w:rsidR="00582115" w:rsidRDefault="00582115" w:rsidP="00EC365B">
            <w:pPr>
              <w:pStyle w:val="Compact"/>
            </w:pPr>
            <m:oMathPara>
              <m:oMath>
                <m:r>
                  <w:rPr>
                    <w:rFonts w:ascii="Cambria Math" w:hAnsi="Cambria Math"/>
                  </w:rPr>
                  <m:t>SE</m:t>
                </m:r>
              </m:oMath>
            </m:oMathPara>
          </w:p>
        </w:tc>
        <w:tc>
          <w:tcPr>
            <w:tcW w:w="0" w:type="auto"/>
          </w:tcPr>
          <w:p w14:paraId="555CA594" w14:textId="77777777" w:rsidR="00582115" w:rsidRDefault="00582115" w:rsidP="00EC365B">
            <w:pPr>
              <w:pStyle w:val="Compact"/>
            </w:pPr>
            <m:oMathPara>
              <m:oMath>
                <m:r>
                  <w:rPr>
                    <w:rFonts w:ascii="Cambria Math" w:hAnsi="Cambria Math"/>
                  </w:rPr>
                  <m:t>t</m:t>
                </m:r>
              </m:oMath>
            </m:oMathPara>
          </w:p>
        </w:tc>
        <w:tc>
          <w:tcPr>
            <w:tcW w:w="0" w:type="auto"/>
          </w:tcPr>
          <w:p w14:paraId="5E48F65B" w14:textId="77777777" w:rsidR="00582115" w:rsidRDefault="00582115" w:rsidP="00EC365B">
            <w:pPr>
              <w:pStyle w:val="Compact"/>
            </w:pPr>
            <m:oMathPara>
              <m:oMath>
                <m:r>
                  <w:rPr>
                    <w:rFonts w:ascii="Cambria Math" w:hAnsi="Cambria Math"/>
                  </w:rPr>
                  <m:t>p</m:t>
                </m:r>
              </m:oMath>
            </m:oMathPara>
          </w:p>
        </w:tc>
      </w:tr>
      <w:tr w:rsidR="00582115" w14:paraId="5D948D51" w14:textId="77777777" w:rsidTr="00EC365B">
        <w:tc>
          <w:tcPr>
            <w:tcW w:w="0" w:type="auto"/>
          </w:tcPr>
          <w:p w14:paraId="530EC4DA" w14:textId="77777777" w:rsidR="00582115" w:rsidRDefault="00582115" w:rsidP="00EC365B">
            <w:pPr>
              <w:pStyle w:val="Compact"/>
            </w:pPr>
            <w:r>
              <w:t>Intercept</w:t>
            </w:r>
          </w:p>
        </w:tc>
        <w:tc>
          <w:tcPr>
            <w:tcW w:w="0" w:type="auto"/>
          </w:tcPr>
          <w:p w14:paraId="78A2C88B" w14:textId="77777777" w:rsidR="00582115" w:rsidRDefault="00582115" w:rsidP="00EC365B">
            <w:pPr>
              <w:pStyle w:val="Compact"/>
            </w:pPr>
            <w:r>
              <w:t>0.87</w:t>
            </w:r>
          </w:p>
        </w:tc>
        <w:tc>
          <w:tcPr>
            <w:tcW w:w="0" w:type="auto"/>
          </w:tcPr>
          <w:p w14:paraId="17F4652C" w14:textId="77777777" w:rsidR="00582115" w:rsidRDefault="00582115" w:rsidP="00EC365B">
            <w:pPr>
              <w:pStyle w:val="Compact"/>
            </w:pPr>
            <w:r>
              <w:t>0.46</w:t>
            </w:r>
          </w:p>
        </w:tc>
        <w:tc>
          <w:tcPr>
            <w:tcW w:w="0" w:type="auto"/>
          </w:tcPr>
          <w:p w14:paraId="15DA1963" w14:textId="77777777" w:rsidR="00582115" w:rsidRDefault="00582115" w:rsidP="00EC365B">
            <w:pPr>
              <w:pStyle w:val="Compact"/>
            </w:pPr>
            <w:r>
              <w:t>1.92</w:t>
            </w:r>
          </w:p>
        </w:tc>
        <w:tc>
          <w:tcPr>
            <w:tcW w:w="0" w:type="auto"/>
          </w:tcPr>
          <w:p w14:paraId="6B0C9A9E" w14:textId="77777777" w:rsidR="00582115" w:rsidRDefault="00582115" w:rsidP="00EC365B">
            <w:pPr>
              <w:pStyle w:val="Compact"/>
            </w:pPr>
            <w:r>
              <w:t>0.10</w:t>
            </w:r>
          </w:p>
        </w:tc>
      </w:tr>
      <w:tr w:rsidR="00582115" w14:paraId="2CA4DB81" w14:textId="77777777" w:rsidTr="00EC365B">
        <w:tc>
          <w:tcPr>
            <w:tcW w:w="0" w:type="auto"/>
          </w:tcPr>
          <w:p w14:paraId="26FE4840" w14:textId="77777777" w:rsidR="00582115" w:rsidRDefault="00582115" w:rsidP="00EC365B">
            <w:pPr>
              <w:pStyle w:val="Compact"/>
            </w:pPr>
            <w:r>
              <w:t>IDS Preference Session 1</w:t>
            </w:r>
          </w:p>
        </w:tc>
        <w:tc>
          <w:tcPr>
            <w:tcW w:w="0" w:type="auto"/>
          </w:tcPr>
          <w:p w14:paraId="04268157" w14:textId="77777777" w:rsidR="00582115" w:rsidRDefault="00582115" w:rsidP="00EC365B">
            <w:pPr>
              <w:pStyle w:val="Compact"/>
            </w:pPr>
            <w:r>
              <w:t>0.04</w:t>
            </w:r>
          </w:p>
        </w:tc>
        <w:tc>
          <w:tcPr>
            <w:tcW w:w="0" w:type="auto"/>
          </w:tcPr>
          <w:p w14:paraId="543CA206" w14:textId="77777777" w:rsidR="00582115" w:rsidRDefault="00582115" w:rsidP="00EC365B">
            <w:pPr>
              <w:pStyle w:val="Compact"/>
            </w:pPr>
            <w:r>
              <w:t>0.09</w:t>
            </w:r>
          </w:p>
        </w:tc>
        <w:tc>
          <w:tcPr>
            <w:tcW w:w="0" w:type="auto"/>
          </w:tcPr>
          <w:p w14:paraId="35209B98" w14:textId="77777777" w:rsidR="00582115" w:rsidRDefault="00582115" w:rsidP="00EC365B">
            <w:pPr>
              <w:pStyle w:val="Compact"/>
            </w:pPr>
            <w:r>
              <w:t>0.41</w:t>
            </w:r>
          </w:p>
        </w:tc>
        <w:tc>
          <w:tcPr>
            <w:tcW w:w="0" w:type="auto"/>
          </w:tcPr>
          <w:p w14:paraId="3EFDE0C6" w14:textId="77777777" w:rsidR="00582115" w:rsidRDefault="00582115" w:rsidP="00EC365B">
            <w:pPr>
              <w:pStyle w:val="Compact"/>
            </w:pPr>
            <w:r>
              <w:t>0.68</w:t>
            </w:r>
          </w:p>
        </w:tc>
      </w:tr>
    </w:tbl>
    <w:p w14:paraId="71FEB8A8" w14:textId="77777777" w:rsidR="00582115" w:rsidRDefault="00582115">
      <w:pPr>
        <w:spacing w:before="0" w:after="200" w:line="240" w:lineRule="auto"/>
      </w:pPr>
      <w:r>
        <w:br w:type="page"/>
      </w:r>
    </w:p>
    <w:p w14:paraId="0A00F23F" w14:textId="7E28BCC2" w:rsidR="00582115" w:rsidRDefault="00582115" w:rsidP="00582115">
      <w:pPr>
        <w:pStyle w:val="BodyText"/>
        <w:ind w:firstLine="0"/>
      </w:pPr>
      <w:r>
        <w:lastRenderedPageBreak/>
        <w:t>Table 4</w:t>
      </w:r>
    </w:p>
    <w:p w14:paraId="615A1E8C" w14:textId="77777777" w:rsidR="00582115" w:rsidRDefault="00582115" w:rsidP="00582115">
      <w:pPr>
        <w:pStyle w:val="TableCaption"/>
      </w:pPr>
      <w:r>
        <w:rPr>
          <w:iCs/>
        </w:rPr>
        <w:t>Coefficient estimates from a linear mixed effects model predicting IDS preference in Session 2 and Pearson correlation coefficient for each method separately.</w:t>
      </w:r>
    </w:p>
    <w:tbl>
      <w:tblPr>
        <w:tblStyle w:val="Table"/>
        <w:tblW w:w="0" w:type="auto"/>
        <w:tblLook w:val="0020" w:firstRow="1" w:lastRow="0" w:firstColumn="0" w:lastColumn="0" w:noHBand="0" w:noVBand="0"/>
      </w:tblPr>
      <w:tblGrid>
        <w:gridCol w:w="1676"/>
        <w:gridCol w:w="716"/>
        <w:gridCol w:w="636"/>
        <w:gridCol w:w="636"/>
        <w:gridCol w:w="1156"/>
      </w:tblGrid>
      <w:tr w:rsidR="00582115" w14:paraId="451D20B1"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5952BB85" w14:textId="77777777" w:rsidR="00582115" w:rsidRDefault="00582115" w:rsidP="00EC365B">
            <w:pPr>
              <w:pStyle w:val="Compact"/>
            </w:pPr>
            <w:r>
              <w:t>Method</w:t>
            </w:r>
          </w:p>
        </w:tc>
        <w:tc>
          <w:tcPr>
            <w:tcW w:w="0" w:type="auto"/>
          </w:tcPr>
          <w:p w14:paraId="55F0D547" w14:textId="77777777" w:rsidR="00582115" w:rsidRDefault="00582115" w:rsidP="00EC365B">
            <w:pPr>
              <w:pStyle w:val="Compact"/>
            </w:pPr>
            <m:oMathPara>
              <m:oMath>
                <m:r>
                  <w:rPr>
                    <w:rFonts w:ascii="Cambria Math" w:hAnsi="Cambria Math"/>
                  </w:rPr>
                  <m:t>beta</m:t>
                </m:r>
              </m:oMath>
            </m:oMathPara>
          </w:p>
        </w:tc>
        <w:tc>
          <w:tcPr>
            <w:tcW w:w="0" w:type="auto"/>
          </w:tcPr>
          <w:p w14:paraId="1332D738" w14:textId="77777777" w:rsidR="00582115" w:rsidRDefault="00582115" w:rsidP="00EC365B">
            <w:pPr>
              <w:pStyle w:val="Compact"/>
            </w:pPr>
            <m:oMathPara>
              <m:oMath>
                <m:r>
                  <w:rPr>
                    <w:rFonts w:ascii="Cambria Math" w:hAnsi="Cambria Math"/>
                  </w:rPr>
                  <m:t>SE</m:t>
                </m:r>
              </m:oMath>
            </m:oMathPara>
          </w:p>
        </w:tc>
        <w:tc>
          <w:tcPr>
            <w:tcW w:w="0" w:type="auto"/>
          </w:tcPr>
          <w:p w14:paraId="20772B54" w14:textId="77777777" w:rsidR="00582115" w:rsidRDefault="00582115" w:rsidP="00EC365B">
            <w:pPr>
              <w:pStyle w:val="Compact"/>
            </w:pPr>
            <m:oMathPara>
              <m:oMath>
                <m:r>
                  <w:rPr>
                    <w:rFonts w:ascii="Cambria Math" w:hAnsi="Cambria Math"/>
                  </w:rPr>
                  <m:t>p</m:t>
                </m:r>
              </m:oMath>
            </m:oMathPara>
          </w:p>
        </w:tc>
        <w:tc>
          <w:tcPr>
            <w:tcW w:w="0" w:type="auto"/>
          </w:tcPr>
          <w:p w14:paraId="16C600E5" w14:textId="77777777" w:rsidR="00582115" w:rsidRDefault="00582115" w:rsidP="00EC365B">
            <w:pPr>
              <w:pStyle w:val="Compact"/>
            </w:pPr>
            <w:r>
              <w:t xml:space="preserve">Pearson </w:t>
            </w:r>
            <m:oMath>
              <m:r>
                <w:rPr>
                  <w:rFonts w:ascii="Cambria Math" w:hAnsi="Cambria Math"/>
                </w:rPr>
                <m:t>r</m:t>
              </m:r>
            </m:oMath>
          </w:p>
        </w:tc>
      </w:tr>
      <w:tr w:rsidR="00582115" w14:paraId="009B26B7" w14:textId="77777777" w:rsidTr="00EC365B">
        <w:tc>
          <w:tcPr>
            <w:tcW w:w="0" w:type="auto"/>
          </w:tcPr>
          <w:p w14:paraId="097BF56E" w14:textId="77777777" w:rsidR="00582115" w:rsidRDefault="00582115" w:rsidP="00EC365B">
            <w:pPr>
              <w:pStyle w:val="Compact"/>
            </w:pPr>
            <w:r>
              <w:t>central fixation</w:t>
            </w:r>
          </w:p>
        </w:tc>
        <w:tc>
          <w:tcPr>
            <w:tcW w:w="0" w:type="auto"/>
          </w:tcPr>
          <w:p w14:paraId="7383293E" w14:textId="77777777" w:rsidR="00582115" w:rsidRDefault="00582115" w:rsidP="00EC365B">
            <w:pPr>
              <w:pStyle w:val="Compact"/>
            </w:pPr>
            <w:r>
              <w:t>-0.20</w:t>
            </w:r>
          </w:p>
        </w:tc>
        <w:tc>
          <w:tcPr>
            <w:tcW w:w="0" w:type="auto"/>
          </w:tcPr>
          <w:p w14:paraId="09D216C7" w14:textId="77777777" w:rsidR="00582115" w:rsidRDefault="00582115" w:rsidP="00EC365B">
            <w:pPr>
              <w:pStyle w:val="Compact"/>
            </w:pPr>
            <w:r>
              <w:t>0.12</w:t>
            </w:r>
          </w:p>
        </w:tc>
        <w:tc>
          <w:tcPr>
            <w:tcW w:w="0" w:type="auto"/>
          </w:tcPr>
          <w:p w14:paraId="5BC08F4E" w14:textId="77777777" w:rsidR="00582115" w:rsidRDefault="00582115" w:rsidP="00EC365B">
            <w:pPr>
              <w:pStyle w:val="Compact"/>
            </w:pPr>
            <w:r>
              <w:t>0.12</w:t>
            </w:r>
          </w:p>
        </w:tc>
        <w:tc>
          <w:tcPr>
            <w:tcW w:w="0" w:type="auto"/>
          </w:tcPr>
          <w:p w14:paraId="05469A53" w14:textId="77777777" w:rsidR="00582115" w:rsidRDefault="00582115" w:rsidP="00EC365B">
            <w:pPr>
              <w:pStyle w:val="Compact"/>
            </w:pPr>
            <w:r>
              <w:t>0.08</w:t>
            </w:r>
          </w:p>
        </w:tc>
      </w:tr>
      <w:tr w:rsidR="00582115" w14:paraId="5C470735" w14:textId="77777777" w:rsidTr="00EC365B">
        <w:tc>
          <w:tcPr>
            <w:tcW w:w="0" w:type="auto"/>
          </w:tcPr>
          <w:p w14:paraId="5B28F5AC" w14:textId="77777777" w:rsidR="00582115" w:rsidRDefault="00582115" w:rsidP="00EC365B">
            <w:pPr>
              <w:pStyle w:val="Compact"/>
            </w:pPr>
            <w:r>
              <w:t>HPP</w:t>
            </w:r>
          </w:p>
        </w:tc>
        <w:tc>
          <w:tcPr>
            <w:tcW w:w="0" w:type="auto"/>
          </w:tcPr>
          <w:p w14:paraId="4D65B45B" w14:textId="77777777" w:rsidR="00582115" w:rsidRDefault="00582115" w:rsidP="00EC365B">
            <w:pPr>
              <w:pStyle w:val="Compact"/>
            </w:pPr>
            <w:r>
              <w:t>0.15</w:t>
            </w:r>
          </w:p>
        </w:tc>
        <w:tc>
          <w:tcPr>
            <w:tcW w:w="0" w:type="auto"/>
          </w:tcPr>
          <w:p w14:paraId="51C4E970" w14:textId="77777777" w:rsidR="00582115" w:rsidRDefault="00582115" w:rsidP="00EC365B">
            <w:pPr>
              <w:pStyle w:val="Compact"/>
            </w:pPr>
            <w:r>
              <w:t>0.14</w:t>
            </w:r>
          </w:p>
        </w:tc>
        <w:tc>
          <w:tcPr>
            <w:tcW w:w="0" w:type="auto"/>
          </w:tcPr>
          <w:p w14:paraId="0A3C5A7D" w14:textId="77777777" w:rsidR="00582115" w:rsidRDefault="00582115" w:rsidP="00EC365B">
            <w:pPr>
              <w:pStyle w:val="Compact"/>
            </w:pPr>
            <w:r>
              <w:t>0.28</w:t>
            </w:r>
          </w:p>
        </w:tc>
        <w:tc>
          <w:tcPr>
            <w:tcW w:w="0" w:type="auto"/>
          </w:tcPr>
          <w:p w14:paraId="486816FF" w14:textId="77777777" w:rsidR="00582115" w:rsidRDefault="00582115" w:rsidP="00EC365B">
            <w:pPr>
              <w:pStyle w:val="Compact"/>
            </w:pPr>
            <w:r>
              <w:t>0.13</w:t>
            </w:r>
          </w:p>
        </w:tc>
      </w:tr>
      <w:tr w:rsidR="00582115" w14:paraId="050BC32E" w14:textId="77777777" w:rsidTr="00EC365B">
        <w:tc>
          <w:tcPr>
            <w:tcW w:w="0" w:type="auto"/>
          </w:tcPr>
          <w:p w14:paraId="2BEC5C8A" w14:textId="77777777" w:rsidR="00582115" w:rsidRDefault="00582115" w:rsidP="00EC365B">
            <w:pPr>
              <w:pStyle w:val="Compact"/>
            </w:pPr>
            <w:r>
              <w:t>eye-tracking</w:t>
            </w:r>
          </w:p>
        </w:tc>
        <w:tc>
          <w:tcPr>
            <w:tcW w:w="0" w:type="auto"/>
          </w:tcPr>
          <w:p w14:paraId="25A6DD45" w14:textId="77777777" w:rsidR="00582115" w:rsidRDefault="00582115" w:rsidP="00EC365B">
            <w:pPr>
              <w:pStyle w:val="Compact"/>
            </w:pPr>
            <w:r>
              <w:t>0.03</w:t>
            </w:r>
          </w:p>
        </w:tc>
        <w:tc>
          <w:tcPr>
            <w:tcW w:w="0" w:type="auto"/>
          </w:tcPr>
          <w:p w14:paraId="0D837051" w14:textId="77777777" w:rsidR="00582115" w:rsidRDefault="00582115" w:rsidP="00EC365B">
            <w:pPr>
              <w:pStyle w:val="Compact"/>
            </w:pPr>
            <w:r>
              <w:t>0.16</w:t>
            </w:r>
          </w:p>
        </w:tc>
        <w:tc>
          <w:tcPr>
            <w:tcW w:w="0" w:type="auto"/>
          </w:tcPr>
          <w:p w14:paraId="06789B83" w14:textId="77777777" w:rsidR="00582115" w:rsidRDefault="00582115" w:rsidP="00EC365B">
            <w:pPr>
              <w:pStyle w:val="Compact"/>
            </w:pPr>
            <w:r>
              <w:t>0.84</w:t>
            </w:r>
          </w:p>
        </w:tc>
        <w:tc>
          <w:tcPr>
            <w:tcW w:w="0" w:type="auto"/>
          </w:tcPr>
          <w:p w14:paraId="5BF29A06" w14:textId="77777777" w:rsidR="00582115" w:rsidRDefault="00582115" w:rsidP="00EC365B">
            <w:pPr>
              <w:pStyle w:val="Compact"/>
            </w:pPr>
            <w:r>
              <w:t>0.02</w:t>
            </w:r>
          </w:p>
        </w:tc>
      </w:tr>
    </w:tbl>
    <w:p w14:paraId="28E04924" w14:textId="77777777" w:rsidR="00975F7E" w:rsidRDefault="00975F7E">
      <w:pPr>
        <w:pStyle w:val="Bibliography"/>
      </w:pPr>
    </w:p>
    <w:sectPr w:rsidR="00975F7E" w:rsidSect="00CB20D0">
      <w:headerReference w:type="even" r:id="rId25"/>
      <w:headerReference w:type="default" r:id="rId26"/>
      <w:headerReference w:type="first" r:id="rId2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D20B" w14:textId="77777777" w:rsidR="002C3F07" w:rsidRDefault="002C3F07">
      <w:pPr>
        <w:spacing w:before="0" w:after="0" w:line="240" w:lineRule="auto"/>
      </w:pPr>
      <w:r>
        <w:separator/>
      </w:r>
    </w:p>
  </w:endnote>
  <w:endnote w:type="continuationSeparator" w:id="0">
    <w:p w14:paraId="0BD5FE33" w14:textId="77777777" w:rsidR="002C3F07" w:rsidRDefault="002C3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B1B5" w14:textId="77777777" w:rsidR="002C3F07" w:rsidRDefault="002C3F07">
      <w:r>
        <w:separator/>
      </w:r>
    </w:p>
  </w:footnote>
  <w:footnote w:type="continuationSeparator" w:id="0">
    <w:p w14:paraId="7FB6A365" w14:textId="77777777" w:rsidR="002C3F07" w:rsidRDefault="002C3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3599ED48" w14:textId="77777777" w:rsidR="004E4875"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30B859" w14:textId="77777777" w:rsidR="004E4875" w:rsidRDefault="004E487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4D48EDE" w14:textId="77777777" w:rsidR="004E4875"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79B802" w14:textId="77777777" w:rsidR="004E4875" w:rsidRPr="00A05772" w:rsidRDefault="00000000" w:rsidP="00572FF5">
    <w:pPr>
      <w:pStyle w:val="Header"/>
      <w:ind w:right="357"/>
    </w:pPr>
    <w:r>
      <w:t>TEST-RETEST RELIABILITY OF INFANT-DIRECTED SPEECH PREFERENCE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B8BC917" w14:textId="77777777" w:rsidR="004E4875"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AE6CD7" w14:textId="77777777" w:rsidR="004E4875" w:rsidRDefault="00000000" w:rsidP="00DA0F6A">
    <w:pPr>
      <w:pStyle w:val="Header"/>
      <w:ind w:right="360"/>
    </w:pPr>
    <w:r>
      <w:t>Running head: TEST-RETEST RELIABILITY OF INFANT-DIRECTED SPEECH PREFERENCE</w:t>
    </w:r>
  </w:p>
  <w:p w14:paraId="7A926D1D" w14:textId="77777777" w:rsidR="004E4875" w:rsidRPr="00A05772" w:rsidRDefault="004E487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120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28889822">
    <w:abstractNumId w:val="12"/>
  </w:num>
  <w:num w:numId="2" w16cid:durableId="1861431406">
    <w:abstractNumId w:val="12"/>
  </w:num>
  <w:num w:numId="3" w16cid:durableId="239952762">
    <w:abstractNumId w:val="13"/>
  </w:num>
  <w:num w:numId="4" w16cid:durableId="921067467">
    <w:abstractNumId w:val="1"/>
  </w:num>
  <w:num w:numId="5" w16cid:durableId="51198701">
    <w:abstractNumId w:val="2"/>
  </w:num>
  <w:num w:numId="6" w16cid:durableId="1542548867">
    <w:abstractNumId w:val="3"/>
  </w:num>
  <w:num w:numId="7" w16cid:durableId="301273224">
    <w:abstractNumId w:val="4"/>
  </w:num>
  <w:num w:numId="8" w16cid:durableId="1462189759">
    <w:abstractNumId w:val="9"/>
  </w:num>
  <w:num w:numId="9" w16cid:durableId="938566524">
    <w:abstractNumId w:val="5"/>
  </w:num>
  <w:num w:numId="10" w16cid:durableId="1594049567">
    <w:abstractNumId w:val="6"/>
  </w:num>
  <w:num w:numId="11" w16cid:durableId="137260570">
    <w:abstractNumId w:val="7"/>
  </w:num>
  <w:num w:numId="12" w16cid:durableId="1527400069">
    <w:abstractNumId w:val="8"/>
  </w:num>
  <w:num w:numId="13" w16cid:durableId="1102994822">
    <w:abstractNumId w:val="10"/>
  </w:num>
  <w:num w:numId="14" w16cid:durableId="111216177">
    <w:abstractNumId w:val="13"/>
  </w:num>
  <w:num w:numId="15" w16cid:durableId="358822635">
    <w:abstractNumId w:val="0"/>
  </w:num>
  <w:num w:numId="16" w16cid:durableId="188494999">
    <w:abstractNumId w:val="0"/>
  </w:num>
  <w:num w:numId="17" w16cid:durableId="2031953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BB"/>
    <w:rsid w:val="002C3F07"/>
    <w:rsid w:val="004E4875"/>
    <w:rsid w:val="004F054C"/>
    <w:rsid w:val="00570125"/>
    <w:rsid w:val="00582115"/>
    <w:rsid w:val="005E71F8"/>
    <w:rsid w:val="007E34BB"/>
    <w:rsid w:val="00975F7E"/>
    <w:rsid w:val="00EC29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302DD"/>
  <w15:docId w15:val="{5209AD1A-786F-6E40-B832-0E98A711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FollowedHyperlink">
    <w:name w:val="FollowedHyperlink"/>
    <w:basedOn w:val="DefaultParagraphFont"/>
    <w:semiHidden/>
    <w:unhideWhenUsed/>
    <w:rsid w:val="00EC29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eqka/?view_only=e027502f4e7f49408cfb2cba38f7b506" TargetMode="External"/><Relationship Id="rId13" Type="http://schemas.openxmlformats.org/officeDocument/2006/relationships/hyperlink" Target="https://doi.org/10.1111/infa.12182" TargetMode="External"/><Relationship Id="rId18" Type="http://schemas.openxmlformats.org/officeDocument/2006/relationships/hyperlink" Target="https://doi.org/10.1098/rsos.22154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doi:10.1162/opmi_a_00002" TargetMode="External"/><Relationship Id="rId7" Type="http://schemas.openxmlformats.org/officeDocument/2006/relationships/hyperlink" Target="https://github.com/msschreiner/MB1T" TargetMode="External"/><Relationship Id="rId12" Type="http://schemas.openxmlformats.org/officeDocument/2006/relationships/hyperlink" Target="http://www.earlyliteracylearning.org/cellreviews/cellreviews_v5_n1.pdf" TargetMode="External"/><Relationship Id="rId17" Type="http://schemas.openxmlformats.org/officeDocument/2006/relationships/hyperlink" Target="https://doi.org/10.1177/0013164456016004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758/s13428-023-02200-7" TargetMode="External"/><Relationship Id="rId20" Type="http://schemas.openxmlformats.org/officeDocument/2006/relationships/hyperlink" Target="https://doi.org/10.1111/infa.1237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5f8t" TargetMode="External"/><Relationship Id="rId24" Type="http://schemas.openxmlformats.org/officeDocument/2006/relationships/hyperlink" Target="https://doi.org/10.1207/s15327078in1101_2" TargetMode="External"/><Relationship Id="rId5" Type="http://schemas.openxmlformats.org/officeDocument/2006/relationships/footnotes" Target="footnotes.xml"/><Relationship Id="rId15" Type="http://schemas.openxmlformats.org/officeDocument/2006/relationships/hyperlink" Target="https://doi.org/10.31234/osf.io/xr7y3" TargetMode="External"/><Relationship Id="rId23" Type="http://schemas.openxmlformats.org/officeDocument/2006/relationships/hyperlink" Target="https://doi.org/10.31234/osf.io/njh38" TargetMode="External"/><Relationship Id="rId28" Type="http://schemas.openxmlformats.org/officeDocument/2006/relationships/fontTable" Target="fontTable.xml"/><Relationship Id="rId10" Type="http://schemas.openxmlformats.org/officeDocument/2006/relationships/hyperlink" Target="mailto:melanie.schreiner@psych.uni-goettingen.de" TargetMode="External"/><Relationship Id="rId19" Type="http://schemas.openxmlformats.org/officeDocument/2006/relationships/hyperlink" Target="https://doi.org/10.3758/s13423-018-1558-y" TargetMode="External"/><Relationship Id="rId4" Type="http://schemas.openxmlformats.org/officeDocument/2006/relationships/webSettings" Target="webSettings.xml"/><Relationship Id="rId9" Type="http://schemas.openxmlformats.org/officeDocument/2006/relationships/hyperlink" Target="https://docs.google.com/spreadsheets/d/1jDvb0xL1U6YbXrpPZ1UyfyQ7yYK9aXo002UaArqy35U/edit?usp=sharing" TargetMode="External"/><Relationship Id="rId14" Type="http://schemas.openxmlformats.org/officeDocument/2006/relationships/hyperlink" Target="https://doi.org/10.1111/infa.12006" TargetMode="External"/><Relationship Id="rId22" Type="http://schemas.openxmlformats.org/officeDocument/2006/relationships/hyperlink" Target="https://doi.org/10.1207/s15327078in0701_5"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7519</Words>
  <Characters>42861</Characters>
  <Application>Microsoft Office Word</Application>
  <DocSecurity>0</DocSecurity>
  <Lines>357</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Limited evidence of test-retest reliability in infant-directed speech preference in a large preregistered infant experiment</vt:lpstr>
      <vt:lpstr>TITLE</vt:lpstr>
    </vt:vector>
  </TitlesOfParts>
  <Manager/>
  <Company/>
  <LinksUpToDate>false</LinksUpToDate>
  <CharactersWithSpaces>50280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experiment</dc:title>
  <dc:creator>Martin C. Zettersten</dc:creator>
  <cp:keywords/>
  <cp:lastModifiedBy>Martin C. Zettersten</cp:lastModifiedBy>
  <cp:revision>5</cp:revision>
  <dcterms:created xsi:type="dcterms:W3CDTF">2023-09-04T05:48:00Z</dcterms:created>
  <dcterms:modified xsi:type="dcterms:W3CDTF">2023-09-04T06:38:00Z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DGE-1747503).Conflict of Interest Statement. The authors declare that there are no conflicts of interest for this work.Data Availability Statement. All code for reproducing the paper is available at https://github.com/msschreiner/MB1T. Data and materials are available on OSF (https://osf.io/zeqka/?view_only=e027502f4e7f49408cfb2cba38f7b506).CRediT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False</vt:lpwstr>
  </property>
  <property fmtid="{D5CDD505-2E9C-101B-9397-08002B2CF9AE}" pid="18" name="wordcount">
    <vt:lpwstr>5252</vt:lpwstr>
  </property>
</Properties>
</file>