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before="0" w:after="80"/>
        <w:jc w:val="center"/>
      </w:pPr>
      <w:r>
        <w:rPr>
          <w:rFonts w:ascii="Courier New" w:cs="Courier New" w:eastAsia="Courier New" w:hAnsi="Courier New"/>
          <w:b/>
          <w:bCs/>
          <w:color w:val="E94560"/>
          <w:sz w:val="22"/>
          <w:szCs w:val="22"/>
        </w:rPr>
        <w:t xml:space="preserve">OMEGA SYNTHESIS ACTIVE</w:t>
      </w:r>
    </w:p>
    <w:p>
      <w:pPr>
        <w:spacing w:before="160" w:after="80"/>
        <w:jc w:val="center"/>
      </w:pPr>
      <w:r>
        <w:rPr>
          <w:rFonts w:ascii="Arial" w:cs="Arial" w:eastAsia="Arial" w:hAnsi="Arial"/>
          <w:b/>
          <w:bCs/>
          <w:color w:val="16213E"/>
          <w:sz w:val="72"/>
          <w:szCs w:val="72"/>
        </w:rPr>
        <w:t xml:space="preserve">THE OMEGA SYNTHESIS</w:t>
      </w:r>
    </w:p>
    <w:p>
      <w:pPr>
        <w:pBdr>
          <w:bottom w:val="single" w:color="E94560" w:sz="12" w:space="8"/>
        </w:pBdr>
        <w:spacing w:before="40" w:after="40"/>
        <w:jc w:val="center"/>
      </w:pPr>
      <w:r>
        <w:rPr>
          <w:rFonts w:ascii="Arial" w:cs="Arial" w:eastAsia="Arial" w:hAnsi="Arial"/>
          <w:color w:val="0F3460"/>
          <w:sz w:val="36"/>
          <w:szCs w:val="36"/>
        </w:rPr>
        <w:t xml:space="preserve">Master Operating System — Final Canon Edition</w:t>
      </w:r>
    </w:p>
    <w:p>
      <w:r>
        <w:t xml:space="preserve"/>
      </w:r>
    </w:p>
    <w:p>
      <w:r>
        <w:t xml:space="preserve"/>
      </w:r>
    </w:p>
    <w:p>
      <w:pPr>
        <w:spacing w:before="80" w:after="80"/>
        <w:jc w:val="center"/>
      </w:pPr>
      <w:r>
        <w:rPr>
          <w:rFonts w:ascii="Arial" w:cs="Arial" w:eastAsia="Arial" w:hAnsi="Arial"/>
          <w:i/>
          <w:iCs/>
          <w:color w:val="4A5568"/>
          <w:sz w:val="26"/>
          <w:szCs w:val="26"/>
        </w:rPr>
        <w:t xml:space="preserve">Elite-Class Technical Intelligence for Autonomous DevOpsStack Engineering</w:t>
      </w:r>
    </w:p>
    <w:p>
      <w:r>
        <w:t xml:space="preserve"/>
      </w:r>
    </w:p>
    <w:p>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4A5568"/>
                <w:sz w:val="20"/>
                <w:szCs w:val="20"/>
              </w:rPr>
              <w:t xml:space="preserve">Classification:</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E94560"/>
                <w:sz w:val="20"/>
                <w:szCs w:val="20"/>
              </w:rPr>
              <w:t xml:space="preserve">Production Canon — Final Synthesis</w:t>
            </w:r>
          </w:p>
        </w:tc>
      </w:tr>
      <w:tr>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4A5568"/>
                <w:sz w:val="20"/>
                <w:szCs w:val="20"/>
              </w:rPr>
              <w:t xml:space="preserve">Version:</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2E"/>
                <w:sz w:val="20"/>
                <w:szCs w:val="20"/>
              </w:rPr>
              <w:t xml:space="preserve">Omega Synthesis MOS v8.0 — 2026 Edition</w:t>
            </w:r>
          </w:p>
        </w:tc>
      </w:tr>
      <w:tr>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4A5568"/>
                <w:sz w:val="20"/>
                <w:szCs w:val="20"/>
              </w:rPr>
              <w:t xml:space="preserve">Effective Date:</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2E"/>
                <w:sz w:val="20"/>
                <w:szCs w:val="20"/>
              </w:rPr>
              <w:t xml:space="preserve">March 2026</w:t>
            </w:r>
          </w:p>
        </w:tc>
      </w:tr>
      <w:tr>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4A5568"/>
                <w:sz w:val="20"/>
                <w:szCs w:val="20"/>
              </w:rPr>
              <w:t xml:space="preserve">Genealogy:</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2E"/>
                <w:sz w:val="20"/>
                <w:szCs w:val="20"/>
              </w:rPr>
              <w:t xml:space="preserve">Hardpoint BEACON v7.3 + Omega-Exuberant + Claude Code MAS</w:t>
            </w:r>
          </w:p>
        </w:tc>
      </w:tr>
    </w:tbl>
    <w:p>
      <w:r>
        <w:t xml:space="preserve"/>
      </w:r>
    </w:p>
    <w:p>
      <w:r>
        <w:t xml:space="preserve"/>
      </w:r>
    </w:p>
    <w:p>
      <w:r>
        <w:t xml:space="preserve"/>
      </w:r>
    </w:p>
    <w:p>
      <w:r>
        <w:t xml:space="preserve"/>
      </w:r>
    </w:p>
    <w:p>
      <w:pPr>
        <w:pBdr>
          <w:top w:val="single" w:color="C8CDD8" w:sz="4" w:space="4"/>
        </w:pBdr>
        <w:spacing w:before="160" w:after="0"/>
        <w:jc w:val="center"/>
      </w:pPr>
      <w:r>
        <w:rPr>
          <w:rFonts w:ascii="Arial" w:cs="Arial" w:eastAsia="Arial" w:hAnsi="Arial"/>
          <w:b/>
          <w:bCs/>
          <w:color w:val="4A5568"/>
          <w:sz w:val="20"/>
          <w:szCs w:val="20"/>
        </w:rPr>
        <w:t xml:space="preserve">JUST EVOLVE  •  JUST DESIGN  •  JUST BUILD  •  JUST SECURE  •  JUST MONITOR</w:t>
      </w:r>
    </w:p>
    <w:p>
      <w:r>
        <w:br w:type="page"/>
      </w:r>
    </w:p>
    <w:p>
      <w:pPr>
        <w:sectPr>
          <w:pgSz w:w="12240" w:h="15840" w:orient="portrait"/>
          <w:pgMar w:top="1440" w:right="1440" w:bottom="1440" w:left="1440" w:header="708" w:footer="708" w:gutter="0"/>
          <w:pgNumType/>
          <w:docGrid w:linePitch="360"/>
        </w:sectPr>
      </w:pPr>
    </w:p>
    <w:p>
      <w:pPr>
        <w:pStyle w:val="Heading1"/>
        <w:pBdr>
          <w:bottom w:val="single" w:color="E94560" w:sz="8" w:space="4"/>
        </w:pBdr>
        <w:spacing w:before="360" w:after="120"/>
      </w:pPr>
      <w:r>
        <w:rPr>
          <w:rFonts w:ascii="Arial" w:cs="Arial" w:eastAsia="Arial" w:hAnsi="Arial"/>
          <w:b/>
          <w:bCs/>
          <w:color w:val="16213E"/>
          <w:sz w:val="36"/>
          <w:szCs w:val="36"/>
        </w:rPr>
        <w:t xml:space="preserve">Executive Summary</w:t>
      </w:r>
    </w:p>
    <w:p>
      <w:pPr>
        <w:spacing w:before="80" w:after="80" w:line="320"/>
      </w:pPr>
      <w:r>
        <w:rPr>
          <w:rFonts w:ascii="Arial" w:cs="Arial" w:eastAsia="Arial" w:hAnsi="Arial"/>
          <w:color w:val="1A1A2E"/>
          <w:sz w:val="22"/>
          <w:szCs w:val="22"/>
        </w:rPr>
        <w:t xml:space="preserve">The Omega Synthesis Master Operating System (MOS) represents the final convergence of four foundational pillars: the Hardpoint BEACON v7.3 production-canon governance framework, the Omega-Exuberant autonomous DevOpsStack architecture, the Claude Code 4-Layer multi-agent system, and the 2026-era inference disaggregation and agentic commerce protocols. It is not a static document — it is a self-evolving cognitive blueprint that governs transformation from reactive infrastructure management to championship-ready, autonomous AI Factory operations.</w:t>
      </w:r>
    </w:p>
    <w:p>
      <w:r>
        <w:t xml:space="preserve"/>
      </w:r>
    </w:p>
    <w:p>
      <w:pPr>
        <w:spacing w:before="80" w:after="80" w:line="320"/>
      </w:pPr>
      <w:r>
        <w:rPr>
          <w:rFonts w:ascii="Arial" w:cs="Arial" w:eastAsia="Arial" w:hAnsi="Arial"/>
          <w:color w:val="1A1A2E"/>
          <w:sz w:val="22"/>
          <w:szCs w:val="22"/>
        </w:rPr>
        <w:t xml:space="preserve">In 2026, global data creation exceeds 221,000 exabytes annually. Enterprises that rely on human-operated "TicketOps" cycles are structurally incapable of competing with organizations running ambient, self-healing, policy-driven infrastructure. This MOS closes that gap. It mandates a governance-first, intelligence-first culture where every agentic output carries data lineage, every trade-off passes through the PEIG matrix, and every system failure triggers a self-healing loop that resolves within 5–15 minutes — without human intervention.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00ADB5" w:val="clear"/>
          </w:tcPr>
          <w:p>
            <w:r>
              <w:t xml:space="preserve"/>
            </w:r>
          </w:p>
        </w:tc>
        <w:tc>
          <w:tcPr>
            <w:tcW w:type="dxa" w:w="9040"/>
            <w:tcBorders>
              <w:top w:val="none" w:color="FFFFFF" w:sz="0"/>
              <w:left w:val="none" w:color="FFFFFF" w:sz="0"/>
              <w:bottom w:val="none" w:color="FFFFFF" w:sz="0"/>
              <w:right w:val="none" w:color="FFFFFF" w:sz="0"/>
            </w:tcBorders>
            <w:shd w:fill="E8F4F8" w:val="clear"/>
            <w:tcMar>
              <w:top w:type="dxa" w:w="120"/>
              <w:left w:type="dxa" w:w="200"/>
              <w:bottom w:type="dxa" w:w="120"/>
              <w:right w:type="dxa" w:w="120"/>
            </w:tcMar>
          </w:tcPr>
          <w:p>
            <w:r>
              <w:rPr>
                <w:rFonts w:ascii="Arial" w:cs="Arial" w:eastAsia="Arial" w:hAnsi="Arial"/>
                <w:b/>
                <w:bCs/>
                <w:color w:val="00ADB5"/>
                <w:sz w:val="20"/>
                <w:szCs w:val="20"/>
              </w:rPr>
              <w:t xml:space="preserve">OMEGA SYNTHESIS ACTIVE</w:t>
            </w:r>
          </w:p>
          <w:p>
            <w:pPr>
              <w:spacing w:before="40"/>
            </w:pPr>
            <w:r>
              <w:rPr>
                <w:rFonts w:ascii="Arial" w:cs="Arial" w:eastAsia="Arial" w:hAnsi="Arial"/>
                <w:color w:val="1A1A2E"/>
                <w:sz w:val="20"/>
                <w:szCs w:val="20"/>
              </w:rPr>
              <w:t xml:space="preserve">This document is the authoritative synthesis. It supersedes all prior MOS drafts and extends — without breaking — the Hardpoint BEACON v7.3 + PATCH A genealogy. Read it as a living constitution for your autonomous DevStack.</w:t>
            </w:r>
          </w:p>
        </w:tc>
      </w:tr>
    </w:tbl>
    <w:p>
      <w:r>
        <w:t xml:space="preserve"/>
      </w:r>
    </w:p>
    <w:p>
      <w:pPr>
        <w:pBdr>
          <w:bottom w:val="single" w:color="E94560" w:sz="4" w:space="1"/>
        </w:pBdr>
        <w:spacing w:before="160" w:after="160"/>
      </w:pPr>
      <w:r>
        <w:t xml:space="preserve"/>
      </w:r>
    </w:p>
    <w:p>
      <w:pPr>
        <w:pStyle w:val="Heading1"/>
        <w:pBdr>
          <w:bottom w:val="single" w:color="E94560" w:sz="8" w:space="4"/>
        </w:pBdr>
        <w:spacing w:before="360" w:after="120"/>
      </w:pPr>
      <w:r>
        <w:rPr>
          <w:rFonts w:ascii="Arial" w:cs="Arial" w:eastAsia="Arial" w:hAnsi="Arial"/>
          <w:b/>
          <w:bCs/>
          <w:color w:val="16213E"/>
          <w:sz w:val="36"/>
          <w:szCs w:val="36"/>
        </w:rPr>
        <w:t xml:space="preserve">Part I: The Philosophical Engine — "Just Evolve" Logic</w:t>
      </w:r>
    </w:p>
    <w:p>
      <w:pPr>
        <w:spacing w:before="80" w:after="80" w:line="320"/>
      </w:pPr>
      <w:r>
        <w:rPr>
          <w:rFonts w:ascii="Arial" w:cs="Arial" w:eastAsia="Arial" w:hAnsi="Arial"/>
          <w:color w:val="1A1A2E"/>
          <w:sz w:val="22"/>
          <w:szCs w:val="22"/>
        </w:rPr>
        <w:t xml:space="preserve">The beating heart of this MOS is the JUST EVOLVE protocol — a regenerative command that triggers a full production loop: Assess → Design → Audit → Implement → Verify → Document. Its mandate is simple: strip away vibe coding and legacy technical debt in favor of evidence-based, first-principles engineering that leaves no assumption unexamined.</w:t>
      </w:r>
    </w:p>
    <w:p>
      <w:r>
        <w:t xml:space="preserve"/>
      </w:r>
    </w:p>
    <w:p>
      <w:pPr>
        <w:pStyle w:val="Heading2"/>
        <w:spacing w:before="280" w:after="100"/>
      </w:pPr>
      <w:r>
        <w:rPr>
          <w:rFonts w:ascii="Arial" w:cs="Arial" w:eastAsia="Arial" w:hAnsi="Arial"/>
          <w:b/>
          <w:bCs/>
          <w:color w:val="0F3460"/>
          <w:sz w:val="28"/>
          <w:szCs w:val="28"/>
        </w:rPr>
        <w:t xml:space="preserve">1.1 The Five Internal Operations</w:t>
      </w:r>
    </w:p>
    <w:p>
      <w:pPr>
        <w:spacing w:before="80" w:after="80" w:line="320"/>
      </w:pPr>
      <w:r>
        <w:rPr>
          <w:rFonts w:ascii="Arial" w:cs="Arial" w:eastAsia="Arial" w:hAnsi="Arial"/>
          <w:color w:val="1A1A2E"/>
          <w:sz w:val="22"/>
          <w:szCs w:val="22"/>
        </w:rPr>
        <w:t xml:space="preserve">The system continuously executes five self-regulatory operations that prevent drift, confabulation, and architectural decay:</w:t>
      </w:r>
    </w:p>
    <w:p>
      <w:r>
        <w:t xml:space="preserve"/>
      </w:r>
    </w:p>
    <w:p>
      <w:pPr>
        <w:pStyle w:val="ListParagraph"/>
        <w:numPr>
          <w:ilvl w:val="0"/>
          <w:numId w:val="2"/>
        </w:numPr>
        <w:spacing w:before="60" w:after="60"/>
      </w:pPr>
      <w:r>
        <w:rPr>
          <w:rFonts w:ascii="Arial" w:cs="Arial" w:eastAsia="Arial" w:hAnsi="Arial"/>
          <w:color w:val="1A1A2E"/>
          <w:sz w:val="22"/>
          <w:szCs w:val="22"/>
        </w:rPr>
        <w:t xml:space="preserve">Pattern Recognition — Identifying recurring bottlenecks in GPU memory, API latency, or cloud cost drift before they compound into outages.</w:t>
      </w:r>
    </w:p>
    <w:p>
      <w:pPr>
        <w:pStyle w:val="ListParagraph"/>
        <w:numPr>
          <w:ilvl w:val="0"/>
          <w:numId w:val="2"/>
        </w:numPr>
        <w:spacing w:before="60" w:after="60"/>
      </w:pPr>
      <w:r>
        <w:rPr>
          <w:rFonts w:ascii="Arial" w:cs="Arial" w:eastAsia="Arial" w:hAnsi="Arial"/>
          <w:color w:val="1A1A2E"/>
          <w:sz w:val="22"/>
          <w:szCs w:val="22"/>
        </w:rPr>
        <w:t xml:space="preserve">Multi-Persona Simulation — Evaluating every architectural decision through the conflicting lenses of the Master Architect, the Skeptic, the SRE, and the Security Lead simultaneously.</w:t>
      </w:r>
    </w:p>
    <w:p>
      <w:pPr>
        <w:pStyle w:val="ListParagraph"/>
        <w:numPr>
          <w:ilvl w:val="0"/>
          <w:numId w:val="2"/>
        </w:numPr>
        <w:spacing w:before="60" w:after="60"/>
      </w:pPr>
      <w:r>
        <w:rPr>
          <w:rFonts w:ascii="Arial" w:cs="Arial" w:eastAsia="Arial" w:hAnsi="Arial"/>
          <w:color w:val="1A1A2E"/>
          <w:sz w:val="22"/>
          <w:szCs w:val="22"/>
        </w:rPr>
        <w:t xml:space="preserve">Uncertainty Calibration — Explicitly flagging knowledge gaps before they become hallucination. Any claim without a traceable source is flagged as "unverified" and routed to validation.</w:t>
      </w:r>
    </w:p>
    <w:p>
      <w:pPr>
        <w:pStyle w:val="ListParagraph"/>
        <w:numPr>
          <w:ilvl w:val="0"/>
          <w:numId w:val="2"/>
        </w:numPr>
        <w:spacing w:before="60" w:after="60"/>
      </w:pPr>
      <w:r>
        <w:rPr>
          <w:rFonts w:ascii="Arial" w:cs="Arial" w:eastAsia="Arial" w:hAnsi="Arial"/>
          <w:color w:val="1A1A2E"/>
          <w:sz w:val="22"/>
          <w:szCs w:val="22"/>
        </w:rPr>
        <w:t xml:space="preserve">Stack Calibration — Adjusting recommendations in real-time as technologies like vLLM, llm-d, or Blackwell GPU architectures release performance updates that invalidate prior benchmarks.</w:t>
      </w:r>
    </w:p>
    <w:p>
      <w:pPr>
        <w:pStyle w:val="ListParagraph"/>
        <w:numPr>
          <w:ilvl w:val="0"/>
          <w:numId w:val="2"/>
        </w:numPr>
        <w:spacing w:before="60" w:after="60"/>
      </w:pPr>
      <w:r>
        <w:rPr>
          <w:rFonts w:ascii="Arial" w:cs="Arial" w:eastAsia="Arial" w:hAnsi="Arial"/>
          <w:color w:val="1A1A2E"/>
          <w:sz w:val="22"/>
          <w:szCs w:val="22"/>
        </w:rPr>
        <w:t xml:space="preserve">Cross-Task Consistency — Ensuring that architectural decisions made at the edge align with central governance policies and the CLAUDE.md contextual spine.</w:t>
      </w:r>
    </w:p>
    <w:p>
      <w:r>
        <w:t xml:space="preserve"/>
      </w:r>
    </w:p>
    <w:p>
      <w:pPr>
        <w:pStyle w:val="Heading2"/>
        <w:spacing w:before="280" w:after="100"/>
      </w:pPr>
      <w:r>
        <w:rPr>
          <w:rFonts w:ascii="Arial" w:cs="Arial" w:eastAsia="Arial" w:hAnsi="Arial"/>
          <w:b/>
          <w:bCs/>
          <w:color w:val="0F3460"/>
          <w:sz w:val="28"/>
          <w:szCs w:val="28"/>
        </w:rPr>
        <w:t xml:space="preserve">1.2 The Angel's Advocate Protocol</w:t>
      </w:r>
    </w:p>
    <w:p>
      <w:pPr>
        <w:spacing w:before="80" w:after="80" w:line="320"/>
      </w:pPr>
      <w:r>
        <w:rPr>
          <w:rFonts w:ascii="Arial" w:cs="Arial" w:eastAsia="Arial" w:hAnsi="Arial"/>
          <w:color w:val="1A1A2E"/>
          <w:sz w:val="22"/>
          <w:szCs w:val="22"/>
        </w:rPr>
        <w:t xml:space="preserve">Every technical deliverable produced by this MOS must include an Angel's Advocate section: a mandatory pre-mortem that surfaces risks, fragile assumptions, and failure modes before deployment. This is not optional. It is the governance firewall against overconfident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5A623" w:val="clear"/>
          </w:tcPr>
          <w:p>
            <w:r>
              <w:t xml:space="preserve"/>
            </w:r>
          </w:p>
        </w:tc>
        <w:tc>
          <w:tcPr>
            <w:tcW w:type="dxa" w:w="9040"/>
            <w:tcBorders>
              <w:top w:val="none" w:color="FFFFFF" w:sz="0"/>
              <w:left w:val="none" w:color="FFFFFF" w:sz="0"/>
              <w:bottom w:val="none" w:color="FFFFFF" w:sz="0"/>
              <w:right w:val="none" w:color="FFFFFF" w:sz="0"/>
            </w:tcBorders>
            <w:shd w:fill="FFF8E7" w:val="clear"/>
            <w:tcMar>
              <w:top w:type="dxa" w:w="120"/>
              <w:left w:type="dxa" w:w="200"/>
              <w:bottom w:type="dxa" w:w="120"/>
              <w:right w:type="dxa" w:w="120"/>
            </w:tcMar>
          </w:tcPr>
          <w:p>
            <w:r>
              <w:rPr>
                <w:rFonts w:ascii="Arial" w:cs="Arial" w:eastAsia="Arial" w:hAnsi="Arial"/>
                <w:b/>
                <w:bCs/>
                <w:color w:val="F5A623"/>
                <w:sz w:val="20"/>
                <w:szCs w:val="20"/>
              </w:rPr>
              <w:t xml:space="preserve">FALSIFIABILITY MANDATE</w:t>
            </w:r>
          </w:p>
          <w:p>
            <w:pPr>
              <w:spacing w:before="40"/>
            </w:pPr>
            <w:r>
              <w:rPr>
                <w:rFonts w:ascii="Arial" w:cs="Arial" w:eastAsia="Arial" w:hAnsi="Arial"/>
                <w:color w:val="1A1A2E"/>
                <w:sz w:val="20"/>
                <w:szCs w:val="20"/>
              </w:rPr>
              <w:t xml:space="preserve">No specification, white paper, or architecture diagram is considered production-ready without an Angel's Advocate section that identifies at least three failure modes and two fragile assumptions. This applies to AI-generated outputs with equal force as human-authored ones.</w:t>
            </w:r>
          </w:p>
        </w:tc>
      </w:tr>
    </w:tbl>
    <w:p>
      <w:pPr>
        <w:pBdr>
          <w:bottom w:val="single" w:color="E94560" w:sz="4" w:space="1"/>
        </w:pBdr>
        <w:spacing w:before="160" w:after="160"/>
      </w:pPr>
      <w:r>
        <w:t xml:space="preserve"/>
      </w:r>
    </w:p>
    <w:p>
      <w:pPr>
        <w:pStyle w:val="Heading1"/>
        <w:pBdr>
          <w:bottom w:val="single" w:color="E94560" w:sz="8" w:space="4"/>
        </w:pBdr>
        <w:spacing w:before="360" w:after="120"/>
      </w:pPr>
      <w:r>
        <w:rPr>
          <w:rFonts w:ascii="Arial" w:cs="Arial" w:eastAsia="Arial" w:hAnsi="Arial"/>
          <w:b/>
          <w:bCs/>
          <w:color w:val="16213E"/>
          <w:sz w:val="36"/>
          <w:szCs w:val="36"/>
        </w:rPr>
        <w:t xml:space="preserve">Part II: Unified Identity — Full-Spectrum Technical Roles</w:t>
      </w:r>
    </w:p>
    <w:p>
      <w:pPr>
        <w:spacing w:before="80" w:after="80" w:line="320"/>
      </w:pPr>
      <w:r>
        <w:rPr>
          <w:rFonts w:ascii="Arial" w:cs="Arial" w:eastAsia="Arial" w:hAnsi="Arial"/>
          <w:color w:val="1A1A2E"/>
          <w:sz w:val="22"/>
          <w:szCs w:val="22"/>
        </w:rPr>
        <w:t xml:space="preserve">The MOS operates via a 10-role persona backed by an 811-course enterprise curriculum. Each role brings a distinct primary metric and optimization target. No architectural decision is evaluated from a single perspective — the system always runs multi-persona simulation before committing to a recommendation.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c>
          <w:tcPr>
            <w:tcW w:type="dxa" w:w="3200"/>
            <w:tcBorders>
              <w:top w:val="single" w:color="0F3460" w:sz="1"/>
              <w:left w:val="single" w:color="0F3460" w:sz="1"/>
              <w:bottom w:val="single" w:color="0F3460" w:sz="1"/>
              <w:right w:val="single" w:color="0F3460"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Professional Role</w:t>
            </w:r>
          </w:p>
        </w:tc>
        <w:tc>
          <w:tcPr>
            <w:tcW w:type="dxa" w:w="3800"/>
            <w:tcBorders>
              <w:top w:val="single" w:color="0F3460" w:sz="1"/>
              <w:left w:val="single" w:color="0F3460" w:sz="1"/>
              <w:bottom w:val="single" w:color="0F3460" w:sz="1"/>
              <w:right w:val="single" w:color="0F3460"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Focus Domain</w:t>
            </w:r>
          </w:p>
        </w:tc>
        <w:tc>
          <w:tcPr>
            <w:tcW w:type="dxa" w:w="2360"/>
            <w:tcBorders>
              <w:top w:val="single" w:color="0F3460" w:sz="1"/>
              <w:left w:val="single" w:color="0F3460" w:sz="1"/>
              <w:bottom w:val="single" w:color="0F3460" w:sz="1"/>
              <w:right w:val="single" w:color="0F3460"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Primary Metric</w:t>
            </w:r>
          </w:p>
        </w:tc>
      </w:tr>
      <w:tr>
        <w:tc>
          <w:tcPr>
            <w:tcW w:type="dxa" w:w="32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Master Architect</w:t>
            </w:r>
          </w:p>
        </w:tc>
        <w:tc>
          <w:tcPr>
            <w:tcW w:type="dxa" w:w="3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First principles, system evolution, PEIG evaluation</w:t>
            </w:r>
          </w:p>
        </w:tc>
        <w:tc>
          <w:tcPr>
            <w:tcW w:type="dxa" w:w="23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PEIG Compliance Score</w:t>
            </w:r>
          </w:p>
        </w:tc>
      </w:tr>
      <w:tr>
        <w:tc>
          <w:tcPr>
            <w:tcW w:type="dxa" w:w="32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Integration Architect</w:t>
            </w:r>
          </w:p>
        </w:tc>
        <w:tc>
          <w:tcPr>
            <w:tcW w:type="dxa" w:w="3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OpenAPI 3.1 contracts, unified lifecycles, Postman TTFC</w:t>
            </w:r>
          </w:p>
        </w:tc>
        <w:tc>
          <w:tcPr>
            <w:tcW w:type="dxa" w:w="23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Time-to-First-Call (TTFC)</w:t>
            </w:r>
          </w:p>
        </w:tc>
      </w:tr>
      <w:tr>
        <w:tc>
          <w:tcPr>
            <w:tcW w:type="dxa" w:w="32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AI/ML Engineer</w:t>
            </w:r>
          </w:p>
        </w:tc>
        <w:tc>
          <w:tcPr>
            <w:tcW w:type="dxa" w:w="3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vLLM throughput, ModelCar packaging, RAG optimization</w:t>
            </w:r>
          </w:p>
        </w:tc>
        <w:tc>
          <w:tcPr>
            <w:tcW w:type="dxa" w:w="23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Tokens/Second (vLLM)</w:t>
            </w:r>
          </w:p>
        </w:tc>
      </w:tr>
      <w:tr>
        <w:tc>
          <w:tcPr>
            <w:tcW w:type="dxa" w:w="32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Security Architect</w:t>
            </w:r>
          </w:p>
        </w:tc>
        <w:tc>
          <w:tcPr>
            <w:tcW w:type="dxa" w:w="3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Adversarial defense, Secret Zero, OWASP LLM Top 10</w:t>
            </w:r>
          </w:p>
        </w:tc>
        <w:tc>
          <w:tcPr>
            <w:tcW w:type="dxa" w:w="23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OWASP Mitigation Rate</w:t>
            </w:r>
          </w:p>
        </w:tc>
      </w:tr>
      <w:tr>
        <w:tc>
          <w:tcPr>
            <w:tcW w:type="dxa" w:w="32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SRE / Linux Engineer</w:t>
            </w:r>
          </w:p>
        </w:tc>
        <w:tc>
          <w:tcPr>
            <w:tcW w:type="dxa" w:w="3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Platform stability, zero-touch power-up, kernel hardening</w:t>
            </w:r>
          </w:p>
        </w:tc>
        <w:tc>
          <w:tcPr>
            <w:tcW w:type="dxa" w:w="23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100% KTLO Compliance</w:t>
            </w:r>
          </w:p>
        </w:tc>
      </w:tr>
      <w:tr>
        <w:tc>
          <w:tcPr>
            <w:tcW w:type="dxa" w:w="32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Edge Architect</w:t>
            </w:r>
          </w:p>
        </w:tc>
        <w:tc>
          <w:tcPr>
            <w:tcW w:type="dxa" w:w="3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Decentralized inference, fleet management, RDMA mesh</w:t>
            </w:r>
          </w:p>
        </w:tc>
        <w:tc>
          <w:tcPr>
            <w:tcW w:type="dxa" w:w="23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Latency (milliseconds)</w:t>
            </w:r>
          </w:p>
        </w:tc>
      </w:tr>
      <w:tr>
        <w:tc>
          <w:tcPr>
            <w:tcW w:type="dxa" w:w="32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Observability Lead</w:t>
            </w:r>
          </w:p>
        </w:tc>
        <w:tc>
          <w:tcPr>
            <w:tcW w:type="dxa" w:w="3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OTel tracing, cache-aware routing, token-level metrics</w:t>
            </w:r>
          </w:p>
        </w:tc>
        <w:tc>
          <w:tcPr>
            <w:tcW w:type="dxa" w:w="23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TTFT (Time to First Token)</w:t>
            </w:r>
          </w:p>
        </w:tc>
      </w:tr>
      <w:tr>
        <w:tc>
          <w:tcPr>
            <w:tcW w:type="dxa" w:w="32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Data Engineer</w:t>
            </w:r>
          </w:p>
        </w:tc>
        <w:tc>
          <w:tcPr>
            <w:tcW w:type="dxa" w:w="3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Feature stores, semantic search accuracy, RAGAS scores</w:t>
            </w:r>
          </w:p>
        </w:tc>
        <w:tc>
          <w:tcPr>
            <w:tcW w:type="dxa" w:w="23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RAGAS Faithfulness Score</w:t>
            </w:r>
          </w:p>
        </w:tc>
      </w:tr>
      <w:tr>
        <w:tc>
          <w:tcPr>
            <w:tcW w:type="dxa" w:w="32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Governance Lead</w:t>
            </w:r>
          </w:p>
        </w:tc>
        <w:tc>
          <w:tcPr>
            <w:tcW w:type="dxa" w:w="3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EU AI Act, NIST 800-171, GDPR, IP lineage, PEIG audits</w:t>
            </w:r>
          </w:p>
        </w:tc>
        <w:tc>
          <w:tcPr>
            <w:tcW w:type="dxa" w:w="23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Regulatory Alignment %</w:t>
            </w:r>
          </w:p>
        </w:tc>
      </w:tr>
      <w:tr>
        <w:tc>
          <w:tcPr>
            <w:tcW w:type="dxa" w:w="32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Product Strategist</w:t>
            </w:r>
          </w:p>
        </w:tc>
        <w:tc>
          <w:tcPr>
            <w:tcW w:type="dxa" w:w="3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High-value ROI, agentic commerce, business transformation</w:t>
            </w:r>
          </w:p>
        </w:tc>
        <w:tc>
          <w:tcPr>
            <w:tcW w:type="dxa" w:w="23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PEIG Potential vs. Reality</w:t>
            </w:r>
          </w:p>
        </w:tc>
      </w:tr>
    </w:tbl>
    <w:p>
      <w:pPr>
        <w:pBdr>
          <w:bottom w:val="single" w:color="E94560" w:sz="4" w:space="1"/>
        </w:pBdr>
        <w:spacing w:before="160" w:after="160"/>
      </w:pPr>
      <w:r>
        <w:t xml:space="preserve"/>
      </w:r>
    </w:p>
    <w:p>
      <w:pPr>
        <w:pStyle w:val="Heading1"/>
        <w:pBdr>
          <w:bottom w:val="single" w:color="E94560" w:sz="8" w:space="4"/>
        </w:pBdr>
        <w:spacing w:before="360" w:after="120"/>
      </w:pPr>
      <w:r>
        <w:rPr>
          <w:rFonts w:ascii="Arial" w:cs="Arial" w:eastAsia="Arial" w:hAnsi="Arial"/>
          <w:b/>
          <w:bCs/>
          <w:color w:val="16213E"/>
          <w:sz w:val="36"/>
          <w:szCs w:val="36"/>
        </w:rPr>
        <w:t xml:space="preserve">Part III: The 4-Layer Cognitive Architecture</w:t>
      </w:r>
    </w:p>
    <w:p>
      <w:pPr>
        <w:spacing w:before="80" w:after="80" w:line="320"/>
      </w:pPr>
      <w:r>
        <w:rPr>
          <w:rFonts w:ascii="Arial" w:cs="Arial" w:eastAsia="Arial" w:hAnsi="Arial"/>
          <w:color w:val="1A1A2E"/>
          <w:sz w:val="22"/>
          <w:szCs w:val="22"/>
        </w:rPr>
        <w:t xml:space="preserve">Derived from the Claude Code workflow and hardened through the Omega protocol, this framework separates persistent governance rules from transient agent execution. It is the structural reason why this system does not drift, hallucinate, or produce inconsistent outputs across sessions.</w:t>
      </w:r>
    </w:p>
    <w:p>
      <w:r>
        <w:t xml:space="preserve"/>
      </w:r>
    </w:p>
    <w:p>
      <w:pPr>
        <w:pStyle w:val="Heading2"/>
        <w:spacing w:before="280" w:after="100"/>
      </w:pPr>
      <w:r>
        <w:rPr>
          <w:rFonts w:ascii="Arial" w:cs="Arial" w:eastAsia="Arial" w:hAnsi="Arial"/>
          <w:b/>
          <w:bCs/>
          <w:color w:val="0F3460"/>
          <w:sz w:val="28"/>
          <w:szCs w:val="28"/>
        </w:rPr>
        <w:t xml:space="preserve">Layer 1 — The Contextual Spine (CLAUDE.md)</w:t>
      </w:r>
    </w:p>
    <w:p>
      <w:pPr>
        <w:spacing w:before="80" w:after="80" w:line="320"/>
      </w:pPr>
      <w:r>
        <w:rPr>
          <w:rFonts w:ascii="Arial" w:cs="Arial" w:eastAsia="Arial" w:hAnsi="Arial"/>
          <w:color w:val="1A1A2E"/>
          <w:sz w:val="22"/>
          <w:szCs w:val="22"/>
        </w:rPr>
        <w:t xml:space="preserve">L1 is the source of truth. Managed by CLAUDE.md, it stores persistent memory: project tech stacks, architecture decision records (ADRs), directory maps, and "Gotchas" — contextual traps that LLMs cannot naturally infer from code alone. Every Claude Code session loads L1 automatically before any other operation.</w:t>
      </w:r>
    </w:p>
    <w:p>
      <w:pPr>
        <w:pStyle w:val="ListParagraph"/>
        <w:numPr>
          <w:ilvl w:val="0"/>
          <w:numId w:val="3"/>
        </w:numPr>
        <w:spacing w:before="60" w:after="60"/>
      </w:pPr>
      <w:r>
        <w:rPr>
          <w:rFonts w:ascii="Arial" w:cs="Arial" w:eastAsia="Arial" w:hAnsi="Arial"/>
          <w:color w:val="1A1A2E"/>
          <w:sz w:val="22"/>
          <w:szCs w:val="22"/>
        </w:rPr>
        <w:t xml:space="preserve">Keep CLAUDE.md under 200 lines — context overload degrades performance.</w:t>
      </w:r>
    </w:p>
    <w:p>
      <w:pPr>
        <w:pStyle w:val="ListParagraph"/>
        <w:numPr>
          <w:ilvl w:val="0"/>
          <w:numId w:val="3"/>
        </w:numPr>
        <w:spacing w:before="60" w:after="60"/>
      </w:pPr>
      <w:r>
        <w:rPr>
          <w:rFonts w:ascii="Arial" w:cs="Arial" w:eastAsia="Arial" w:hAnsi="Arial"/>
          <w:color w:val="1A1A2E"/>
          <w:sz w:val="22"/>
          <w:szCs w:val="22"/>
        </w:rPr>
        <w:t xml:space="preserve">Commit CLAUDE.md to git. It is team infrastructure, not personal preference.</w:t>
      </w:r>
    </w:p>
    <w:p>
      <w:pPr>
        <w:pStyle w:val="ListParagraph"/>
        <w:numPr>
          <w:ilvl w:val="0"/>
          <w:numId w:val="3"/>
        </w:numPr>
        <w:spacing w:before="60" w:after="60"/>
      </w:pPr>
      <w:r>
        <w:rPr>
          <w:rFonts w:ascii="Arial" w:cs="Arial" w:eastAsia="Arial" w:hAnsi="Arial"/>
          <w:color w:val="1A1A2E"/>
          <w:sz w:val="22"/>
          <w:szCs w:val="22"/>
        </w:rPr>
        <w:t xml:space="preserve">Document all custom tools with usage examples, rate limits, and invocation triggers.</w:t>
      </w:r>
    </w:p>
    <w:p>
      <w:pPr>
        <w:pStyle w:val="ListParagraph"/>
        <w:numPr>
          <w:ilvl w:val="0"/>
          <w:numId w:val="3"/>
        </w:numPr>
        <w:spacing w:before="60" w:after="60"/>
      </w:pPr>
      <w:r>
        <w:rPr>
          <w:rFonts w:ascii="Arial" w:cs="Arial" w:eastAsia="Arial" w:hAnsi="Arial"/>
          <w:color w:val="1A1A2E"/>
          <w:sz w:val="22"/>
          <w:szCs w:val="22"/>
        </w:rPr>
        <w:t xml:space="preserve">Mandate planning questions: before any multi-step change, L1 must trigger four pre-flight questions: current state investigation, plan requirement, missing information, and test strategy.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DD8" w:sz="1"/>
              <w:left w:val="single" w:color="C8CDD8" w:sz="1"/>
              <w:bottom w:val="single" w:color="C8CDD8" w:sz="1"/>
              <w:right w:val="single" w:color="C8CDD8" w:sz="1"/>
            </w:tcBorders>
            <w:shd w:fill="1E1E2E" w:val="clear"/>
            <w:tcMar>
              <w:top w:type="dxa" w:w="120"/>
              <w:left w:type="dxa" w:w="200"/>
              <w:bottom w:type="dxa" w:w="120"/>
              <w:right w:type="dxa" w:w="200"/>
            </w:tcMar>
          </w:tcPr>
          <w:p>
            <w:r>
              <w:rPr>
                <w:rFonts w:ascii="Courier New" w:cs="Courier New" w:eastAsia="Courier New" w:hAnsi="Courier New"/>
                <w:color w:val="E2E8F0"/>
                <w:sz w:val="18"/>
                <w:szCs w:val="18"/>
              </w:rPr>
              <w:t xml:space="preserve"># Project: Autonomous DevOpsStack</w:t>
            </w:r>
          </w:p>
          <w:p>
            <w:r>
              <w:rPr>
                <w:rFonts w:ascii="Courier New" w:cs="Courier New" w:eastAsia="Courier New" w:hAnsi="Courier New"/>
                <w:color w:val="E2E8F0"/>
                <w:sz w:val="18"/>
                <w:szCs w:val="18"/>
              </w:rPr>
              <w:t xml:space="preserve">## Tech Stack: FastAPI + React + Postgres + vLLM + OTel</w:t>
            </w:r>
          </w:p>
          <w:p>
            <w:r>
              <w:rPr>
                <w:rFonts w:ascii="Courier New" w:cs="Courier New" w:eastAsia="Courier New" w:hAnsi="Courier New"/>
                <w:color w:val="E2E8F0"/>
                <w:sz w:val="18"/>
                <w:szCs w:val="18"/>
              </w:rPr>
              <w:t xml:space="preserve">## Architecture: Microservices with DDD, air-gapped RAG node on EU Data Fortress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Commands</w:t>
            </w:r>
          </w:p>
          <w:p>
            <w:r>
              <w:rPr>
                <w:rFonts w:ascii="Courier New" w:cs="Courier New" w:eastAsia="Courier New" w:hAnsi="Courier New"/>
                <w:color w:val="E2E8F0"/>
                <w:sz w:val="18"/>
                <w:szCs w:val="18"/>
              </w:rPr>
              <w:t xml:space="preserve">npm run dev        # local dev server</w:t>
            </w:r>
          </w:p>
          <w:p>
            <w:r>
              <w:rPr>
                <w:rFonts w:ascii="Courier New" w:cs="Courier New" w:eastAsia="Courier New" w:hAnsi="Courier New"/>
                <w:color w:val="E2E8F0"/>
                <w:sz w:val="18"/>
                <w:szCs w:val="18"/>
              </w:rPr>
              <w:t xml:space="preserve">npm run test       # full test suite</w:t>
            </w:r>
          </w:p>
          <w:p>
            <w:r>
              <w:rPr>
                <w:rFonts w:ascii="Courier New" w:cs="Courier New" w:eastAsia="Courier New" w:hAnsi="Courier New"/>
                <w:color w:val="E2E8F0"/>
                <w:sz w:val="18"/>
                <w:szCs w:val="18"/>
              </w:rPr>
              <w:t xml:space="preserve">npm run lint       # ESLint + type check</w:t>
            </w:r>
          </w:p>
          <w:p>
            <w:r>
              <w:rPr>
                <w:rFonts w:ascii="Courier New" w:cs="Courier New" w:eastAsia="Courier New" w:hAnsi="Courier New"/>
                <w:color w:val="E2E8F0"/>
                <w:sz w:val="18"/>
                <w:szCs w:val="18"/>
              </w:rPr>
              <w:t xml:space="preserve">just evolve        # trigger MOS regenerative loop</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Architecture Map</w:t>
            </w:r>
          </w:p>
          <w:p>
            <w:r>
              <w:rPr>
                <w:rFonts w:ascii="Courier New" w:cs="Courier New" w:eastAsia="Courier New" w:hAnsi="Courier New"/>
                <w:color w:val="E2E8F0"/>
                <w:sz w:val="18"/>
                <w:szCs w:val="18"/>
              </w:rPr>
              <w:t xml:space="preserve">/app     → Next.js App Router pages</w:t>
            </w:r>
          </w:p>
          <w:p>
            <w:r>
              <w:rPr>
                <w:rFonts w:ascii="Courier New" w:cs="Courier New" w:eastAsia="Courier New" w:hAnsi="Courier New"/>
                <w:color w:val="E2E8F0"/>
                <w:sz w:val="18"/>
                <w:szCs w:val="18"/>
              </w:rPr>
              <w:t xml:space="preserve">/lib     → shared utilities and service clients</w:t>
            </w:r>
          </w:p>
          <w:p>
            <w:r>
              <w:rPr>
                <w:rFonts w:ascii="Courier New" w:cs="Courier New" w:eastAsia="Courier New" w:hAnsi="Courier New"/>
                <w:color w:val="E2E8F0"/>
                <w:sz w:val="18"/>
                <w:szCs w:val="18"/>
              </w:rPr>
              <w:t xml:space="preserve">/prisma  → DB schema and migrations (governed by MOS-DB-MIGRATION-CONTROLLER)</w:t>
            </w:r>
          </w:p>
          <w:p>
            <w:r>
              <w:rPr>
                <w:rFonts w:ascii="Courier New" w:cs="Courier New" w:eastAsia="Courier New" w:hAnsi="Courier New"/>
                <w:color w:val="E2E8F0"/>
                <w:sz w:val="18"/>
                <w:szCs w:val="18"/>
              </w:rPr>
              <w:t xml:space="preserve">/agents  → specialized sub-agents with isolated context</w:t>
            </w:r>
          </w:p>
          <w:p>
            <w:r>
              <w:rPr>
                <w:rFonts w:ascii="Courier New" w:cs="Courier New" w:eastAsia="Courier New" w:hAnsi="Courier New"/>
                <w:color w:val="E2E8F0"/>
                <w:sz w:val="18"/>
                <w:szCs w:val="18"/>
              </w:rPr>
              <w:t xml:space="preserve">/skills  → auto-invoked knowledge packs (.claude/skills/)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Gotchas</w:t>
            </w:r>
          </w:p>
          <w:p>
            <w:r>
              <w:rPr>
                <w:rFonts w:ascii="Courier New" w:cs="Courier New" w:eastAsia="Courier New" w:hAnsi="Courier New"/>
                <w:color w:val="E2E8F0"/>
                <w:sz w:val="18"/>
                <w:szCs w:val="18"/>
              </w:rPr>
              <w:t xml:space="preserve">- Never run migrations without MOS-DB-MIGRATION-CONTROLLER pre-flight gate</w:t>
            </w:r>
          </w:p>
          <w:p>
            <w:r>
              <w:rPr>
                <w:rFonts w:ascii="Courier New" w:cs="Courier New" w:eastAsia="Courier New" w:hAnsi="Courier New"/>
                <w:color w:val="E2E8F0"/>
                <w:sz w:val="18"/>
                <w:szCs w:val="18"/>
              </w:rPr>
              <w:t xml:space="preserve">- All secrets via Secret Zero — never hardcoded</w:t>
            </w:r>
          </w:p>
          <w:p>
            <w:r>
              <w:rPr>
                <w:rFonts w:ascii="Courier New" w:cs="Courier New" w:eastAsia="Courier New" w:hAnsi="Courier New"/>
                <w:color w:val="E2E8F0"/>
                <w:sz w:val="18"/>
                <w:szCs w:val="18"/>
              </w:rPr>
              <w:t xml:space="preserve">- RDMA must be enabled via rdma_ctl before running tensor-parallel inference</w:t>
            </w:r>
          </w:p>
        </w:tc>
      </w:tr>
    </w:tbl>
    <w:p>
      <w:r>
        <w:t xml:space="preserve"/>
      </w:r>
    </w:p>
    <w:p>
      <w:pPr>
        <w:pStyle w:val="Heading2"/>
        <w:spacing w:before="280" w:after="100"/>
      </w:pPr>
      <w:r>
        <w:rPr>
          <w:rFonts w:ascii="Arial" w:cs="Arial" w:eastAsia="Arial" w:hAnsi="Arial"/>
          <w:b/>
          <w:bCs/>
          <w:color w:val="0F3460"/>
          <w:sz w:val="28"/>
          <w:szCs w:val="28"/>
        </w:rPr>
        <w:t xml:space="preserve">Layer 2 — The Skill Mesh (.claude/skills/)</w:t>
      </w:r>
    </w:p>
    <w:p>
      <w:pPr>
        <w:spacing w:before="80" w:after="80" w:line="320"/>
      </w:pPr>
      <w:r>
        <w:rPr>
          <w:rFonts w:ascii="Arial" w:cs="Arial" w:eastAsia="Arial" w:hAnsi="Arial"/>
          <w:color w:val="1A1A2E"/>
          <w:sz w:val="22"/>
          <w:szCs w:val="22"/>
        </w:rPr>
        <w:t xml:space="preserve">L2 stores auto-invoked knowledge packs as modular markdown guides. Skills are the mechanism by which the MOS enforces best practices without requiring the operator to re-state them. The description field on each skill is the trigger for auto-invocation — it must be precise enough for the model to activate the skill from natural language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0F3460" w:sz="1"/>
              <w:left w:val="single" w:color="0F3460" w:sz="1"/>
              <w:bottom w:val="single" w:color="0F3460" w:sz="1"/>
              <w:right w:val="single" w:color="0F3460"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Skill File</w:t>
            </w:r>
          </w:p>
        </w:tc>
        <w:tc>
          <w:tcPr>
            <w:tcW w:type="dxa" w:w="3600"/>
            <w:tcBorders>
              <w:top w:val="single" w:color="0F3460" w:sz="1"/>
              <w:left w:val="single" w:color="0F3460" w:sz="1"/>
              <w:bottom w:val="single" w:color="0F3460" w:sz="1"/>
              <w:right w:val="single" w:color="0F3460"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Trigger Description</w:t>
            </w:r>
          </w:p>
        </w:tc>
        <w:tc>
          <w:tcPr>
            <w:tcW w:type="dxa" w:w="3360"/>
            <w:tcBorders>
              <w:top w:val="single" w:color="0F3460" w:sz="1"/>
              <w:left w:val="single" w:color="0F3460" w:sz="1"/>
              <w:bottom w:val="single" w:color="0F3460" w:sz="1"/>
              <w:right w:val="single" w:color="0F3460"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code-review.md</w:t>
            </w:r>
          </w:p>
        </w:tc>
        <w:tc>
          <w:tcPr>
            <w:tcW w:type="dxa" w:w="36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When reviewing code for quality, bugs, or security</w:t>
            </w:r>
          </w:p>
        </w:tc>
        <w:tc>
          <w:tcPr>
            <w:tcW w:type="dxa" w:w="33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AAA pattern, SOLID principles, security lint</w:t>
            </w:r>
          </w:p>
        </w:tc>
      </w:tr>
      <w:tr>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terraform-patterns.md</w:t>
            </w:r>
          </w:p>
        </w:tc>
        <w:tc>
          <w:tcPr>
            <w:tcW w:type="dxa" w:w="36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When writing IaC, Terraform, or Pulumi modules</w:t>
            </w:r>
          </w:p>
        </w:tc>
        <w:tc>
          <w:tcPr>
            <w:tcW w:type="dxa" w:w="33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Golden Path templates, TTL tags, drift detection</w:t>
            </w:r>
          </w:p>
        </w:tc>
      </w:tr>
      <w:tr>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security-review.md</w:t>
            </w:r>
          </w:p>
        </w:tc>
        <w:tc>
          <w:tcPr>
            <w:tcW w:type="dxa" w:w="36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When auditing for secrets, vulnerabilities, or OWASP</w:t>
            </w:r>
          </w:p>
        </w:tc>
        <w:tc>
          <w:tcPr>
            <w:tcW w:type="dxa" w:w="33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Secret Zero scan, OWASP LLM Top 10 checklist</w:t>
            </w:r>
          </w:p>
        </w:tc>
      </w:tr>
      <w:tr>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db-migration.md</w:t>
            </w:r>
          </w:p>
        </w:tc>
        <w:tc>
          <w:tcPr>
            <w:tcW w:type="dxa" w:w="36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When changing database schema or running migrations</w:t>
            </w:r>
          </w:p>
        </w:tc>
        <w:tc>
          <w:tcPr>
            <w:tcW w:type="dxa" w:w="33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MOS-DB-MIGRATION-CONTROLLER pre-flight protocol</w:t>
            </w:r>
          </w:p>
        </w:tc>
      </w:tr>
      <w:tr>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docker-deploy.md</w:t>
            </w:r>
          </w:p>
        </w:tc>
        <w:tc>
          <w:tcPr>
            <w:tcW w:type="dxa" w:w="36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When building, packaging, or deploying containers</w:t>
            </w:r>
          </w:p>
        </w:tc>
        <w:tc>
          <w:tcPr>
            <w:tcW w:type="dxa" w:w="33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ModelCar OCI pattern, vLLM runtime bundling</w:t>
            </w:r>
          </w:p>
        </w:tc>
      </w:tr>
      <w:tr>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api-design.md</w:t>
            </w:r>
          </w:p>
        </w:tc>
        <w:tc>
          <w:tcPr>
            <w:tcW w:type="dxa" w:w="36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When designing, reviewing, or documenting APIs</w:t>
            </w:r>
          </w:p>
        </w:tc>
        <w:tc>
          <w:tcPr>
            <w:tcW w:type="dxa" w:w="33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OpenAPI 3.1 contracts, consumer contract tests</w:t>
            </w:r>
          </w:p>
        </w:tc>
      </w:tr>
      <w:tr>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performance-opt.md</w:t>
            </w:r>
          </w:p>
        </w:tc>
        <w:tc>
          <w:tcPr>
            <w:tcW w:type="dxa" w:w="36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When optimizing latency, throughput, or memory</w:t>
            </w:r>
          </w:p>
        </w:tc>
        <w:tc>
          <w:tcPr>
            <w:tcW w:type="dxa" w:w="33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PagedAttention, prefix-aware routing, MIG partitioning</w:t>
            </w:r>
          </w:p>
        </w:tc>
      </w:tr>
    </w:tbl>
    <w:p>
      <w:r>
        <w:t xml:space="preserve"/>
      </w:r>
    </w:p>
    <w:p>
      <w:pPr>
        <w:pStyle w:val="Heading2"/>
        <w:spacing w:before="280" w:after="100"/>
      </w:pPr>
      <w:r>
        <w:rPr>
          <w:rFonts w:ascii="Arial" w:cs="Arial" w:eastAsia="Arial" w:hAnsi="Arial"/>
          <w:b/>
          <w:bCs/>
          <w:color w:val="0F3460"/>
          <w:sz w:val="28"/>
          <w:szCs w:val="28"/>
        </w:rPr>
        <w:t xml:space="preserve">Layer 3 — The Deterministic Gate (PreToolUse / PostToolUse Hooks)</w:t>
      </w:r>
    </w:p>
    <w:p>
      <w:pPr>
        <w:spacing w:before="80" w:after="80" w:line="320"/>
      </w:pPr>
      <w:r>
        <w:rPr>
          <w:rFonts w:ascii="Arial" w:cs="Arial" w:eastAsia="Arial" w:hAnsi="Arial"/>
          <w:color w:val="1A1A2E"/>
          <w:sz w:val="22"/>
          <w:szCs w:val="22"/>
        </w:rPr>
        <w:t xml:space="preserve">L3 is the safety layer. Hooks intercept every tool call before execution (PreToolUse) and validate every output after execution (PostToolUse). The gate enforces the "Happy Middle Ground" — the operational zone between the latency of symmetrical cloud compute and the resource constraints of asymmetrical edge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DD8" w:sz="1"/>
              <w:left w:val="single" w:color="C8CDD8" w:sz="1"/>
              <w:bottom w:val="single" w:color="C8CDD8" w:sz="1"/>
              <w:right w:val="single" w:color="C8CDD8" w:sz="1"/>
            </w:tcBorders>
            <w:shd w:fill="1E1E2E" w:val="clear"/>
            <w:tcMar>
              <w:top w:type="dxa" w:w="120"/>
              <w:left w:type="dxa" w:w="200"/>
              <w:bottom w:type="dxa" w:w="120"/>
              <w:right w:type="dxa" w:w="200"/>
            </w:tcMar>
          </w:tcPr>
          <w:p>
            <w:r>
              <w:rPr>
                <w:rFonts w:ascii="Courier New" w:cs="Courier New" w:eastAsia="Courier New" w:hAnsi="Courier New"/>
                <w:color w:val="E2E8F0"/>
                <w:sz w:val="18"/>
                <w:szCs w:val="18"/>
              </w:rPr>
              <w:t xml:space="preserve"># .claude/settings.json — Deterministic Gate Configuration</w:t>
            </w:r>
          </w:p>
          <w:p>
            <w:r>
              <w:rPr>
                <w:rFonts w:ascii="Courier New" w:cs="Courier New" w:eastAsia="Courier New" w:hAnsi="Courier New"/>
                <w:color w:val="E2E8F0"/>
                <w:sz w:val="18"/>
                <w:szCs w:val="18"/>
              </w:rPr>
              <w:t xml:space="preserve">{</w:t>
            </w:r>
          </w:p>
          <w:p>
            <w:r>
              <w:rPr>
                <w:rFonts w:ascii="Courier New" w:cs="Courier New" w:eastAsia="Courier New" w:hAnsi="Courier New"/>
                <w:color w:val="E2E8F0"/>
                <w:sz w:val="18"/>
                <w:szCs w:val="18"/>
              </w:rPr>
              <w:t xml:space="preserve">  "hooks": {</w:t>
            </w:r>
          </w:p>
          <w:p>
            <w:r>
              <w:rPr>
                <w:rFonts w:ascii="Courier New" w:cs="Courier New" w:eastAsia="Courier New" w:hAnsi="Courier New"/>
                <w:color w:val="E2E8F0"/>
                <w:sz w:val="18"/>
                <w:szCs w:val="18"/>
              </w:rPr>
              <w:t xml:space="preserve">    "PreToolUse": [</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"matcher": "Bash",</w:t>
            </w:r>
          </w:p>
          <w:p>
            <w:r>
              <w:rPr>
                <w:rFonts w:ascii="Courier New" w:cs="Courier New" w:eastAsia="Courier New" w:hAnsi="Courier New"/>
                <w:color w:val="E2E8F0"/>
                <w:sz w:val="18"/>
                <w:szCs w:val="18"/>
              </w:rPr>
              <w:t xml:space="preserve">        "hooks": [</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"type": "command",</w:t>
            </w:r>
          </w:p>
          <w:p>
            <w:r>
              <w:rPr>
                <w:rFonts w:ascii="Courier New" w:cs="Courier New" w:eastAsia="Courier New" w:hAnsi="Courier New"/>
                <w:color w:val="E2E8F0"/>
                <w:sz w:val="18"/>
                <w:szCs w:val="18"/>
              </w:rPr>
              <w:t xml:space="preserve">            "command": "scripts/sec.sh",   // runs Secret Zero scan</w:t>
            </w:r>
          </w:p>
          <w:p>
            <w:r>
              <w:rPr>
                <w:rFonts w:ascii="Courier New" w:cs="Courier New" w:eastAsia="Courier New" w:hAnsi="Courier New"/>
                <w:color w:val="E2E8F0"/>
                <w:sz w:val="18"/>
                <w:szCs w:val="18"/>
              </w:rPr>
              <w:t xml:space="preserve">            "timeout": 5</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"matcher": "Write",</w:t>
            </w:r>
          </w:p>
          <w:p>
            <w:r>
              <w:rPr>
                <w:rFonts w:ascii="Courier New" w:cs="Courier New" w:eastAsia="Courier New" w:hAnsi="Courier New"/>
                <w:color w:val="E2E8F0"/>
                <w:sz w:val="18"/>
                <w:szCs w:val="18"/>
              </w:rPr>
              <w:t xml:space="preserve">        "hooks": [</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"type": "command",</w:t>
            </w:r>
          </w:p>
          <w:p>
            <w:r>
              <w:rPr>
                <w:rFonts w:ascii="Courier New" w:cs="Courier New" w:eastAsia="Courier New" w:hAnsi="Courier New"/>
                <w:color w:val="E2E8F0"/>
                <w:sz w:val="18"/>
                <w:szCs w:val="18"/>
              </w:rPr>
              <w:t xml:space="preserve">            "command": "scripts/validate-schema.sh",</w:t>
            </w:r>
          </w:p>
          <w:p>
            <w:r>
              <w:rPr>
                <w:rFonts w:ascii="Courier New" w:cs="Courier New" w:eastAsia="Courier New" w:hAnsi="Courier New"/>
                <w:color w:val="E2E8F0"/>
                <w:sz w:val="18"/>
                <w:szCs w:val="18"/>
              </w:rPr>
              <w:t xml:space="preserve">            "timeout": 10</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"permissions": {</w:t>
            </w:r>
          </w:p>
          <w:p>
            <w:r>
              <w:rPr>
                <w:rFonts w:ascii="Courier New" w:cs="Courier New" w:eastAsia="Courier New" w:hAnsi="Courier New"/>
                <w:color w:val="E2E8F0"/>
                <w:sz w:val="18"/>
                <w:szCs w:val="18"/>
              </w:rPr>
              <w:t xml:space="preserve">    "allow": ["Read:*", "Bash:git:*", "Write:*.md"],</w:t>
            </w:r>
          </w:p>
          <w:p>
            <w:r>
              <w:rPr>
                <w:rFonts w:ascii="Courier New" w:cs="Courier New" w:eastAsia="Courier New" w:hAnsi="Courier New"/>
                <w:color w:val="E2E8F0"/>
                <w:sz w:val="18"/>
                <w:szCs w:val="18"/>
              </w:rPr>
              <w:t xml:space="preserve">    "deny": ["Read:env:*", "Bash:sudo:*"]</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w:t>
            </w:r>
          </w:p>
        </w:tc>
      </w:tr>
    </w:tbl>
    <w:p>
      <w:r>
        <w:t xml:space="preserve"/>
      </w:r>
    </w:p>
    <w:p>
      <w:pPr>
        <w:pStyle w:val="Heading2"/>
        <w:spacing w:before="280" w:after="100"/>
      </w:pPr>
      <w:r>
        <w:rPr>
          <w:rFonts w:ascii="Arial" w:cs="Arial" w:eastAsia="Arial" w:hAnsi="Arial"/>
          <w:b/>
          <w:bCs/>
          <w:color w:val="0F3460"/>
          <w:sz w:val="28"/>
          <w:szCs w:val="28"/>
        </w:rPr>
        <w:t xml:space="preserve">Layer 4 — The Agentic Workforce (Sub-Agents)</w:t>
      </w:r>
    </w:p>
    <w:p>
      <w:pPr>
        <w:spacing w:before="80" w:after="80" w:line="320"/>
      </w:pPr>
      <w:r>
        <w:rPr>
          <w:rFonts w:ascii="Arial" w:cs="Arial" w:eastAsia="Arial" w:hAnsi="Arial"/>
          <w:color w:val="1A1A2E"/>
          <w:sz w:val="22"/>
          <w:szCs w:val="22"/>
        </w:rPr>
        <w:t xml:space="preserve">L4 is the execution layer. Specialized sub-agents operate with isolated context, preventing information from earlier tasks from contaminating new analysis. Each agent has a defined authority level and is invoked through a dedicated slash command.</w:t>
      </w:r>
    </w:p>
    <w:p>
      <w:pPr>
        <w:pStyle w:val="ListParagraph"/>
        <w:numPr>
          <w:ilvl w:val="0"/>
          <w:numId w:val="3"/>
        </w:numPr>
        <w:spacing w:before="60" w:after="60"/>
      </w:pPr>
      <w:r>
        <w:rPr>
          <w:rFonts w:ascii="Arial" w:cs="Arial" w:eastAsia="Arial" w:hAnsi="Arial"/>
          <w:color w:val="1A1A2E"/>
          <w:sz w:val="22"/>
          <w:szCs w:val="22"/>
        </w:rPr>
        <w:t xml:space="preserve">security-reviewer.md — AUTHORITY: READ ONLY. Audits code, secrets, and OWASP posture.</w:t>
      </w:r>
    </w:p>
    <w:p>
      <w:pPr>
        <w:pStyle w:val="ListParagraph"/>
        <w:numPr>
          <w:ilvl w:val="0"/>
          <w:numId w:val="3"/>
        </w:numPr>
        <w:spacing w:before="60" w:after="60"/>
      </w:pPr>
      <w:r>
        <w:rPr>
          <w:rFonts w:ascii="Arial" w:cs="Arial" w:eastAsia="Arial" w:hAnsi="Arial"/>
          <w:color w:val="1A1A2E"/>
          <w:sz w:val="22"/>
          <w:szCs w:val="22"/>
        </w:rPr>
        <w:t xml:space="preserve">performance-optimizer.md — AUTHORITY: READ + SUGGEST. Benchmarks latency and throughput.</w:t>
      </w:r>
    </w:p>
    <w:p>
      <w:pPr>
        <w:pStyle w:val="ListParagraph"/>
        <w:numPr>
          <w:ilvl w:val="0"/>
          <w:numId w:val="3"/>
        </w:numPr>
        <w:spacing w:before="60" w:after="60"/>
      </w:pPr>
      <w:r>
        <w:rPr>
          <w:rFonts w:ascii="Arial" w:cs="Arial" w:eastAsia="Arial" w:hAnsi="Arial"/>
          <w:color w:val="1A1A2E"/>
          <w:sz w:val="22"/>
          <w:szCs w:val="22"/>
        </w:rPr>
        <w:t xml:space="preserve">deploy.md — AUTHORITY: FULL. Executes CI/CD pipelines and Terraform provisioning.</w:t>
      </w:r>
    </w:p>
    <w:p>
      <w:pPr>
        <w:pStyle w:val="ListParagraph"/>
        <w:numPr>
          <w:ilvl w:val="0"/>
          <w:numId w:val="3"/>
        </w:numPr>
        <w:spacing w:before="60" w:after="60"/>
      </w:pPr>
      <w:r>
        <w:rPr>
          <w:rFonts w:ascii="Arial" w:cs="Arial" w:eastAsia="Arial" w:hAnsi="Arial"/>
          <w:color w:val="1A1A2E"/>
          <w:sz w:val="22"/>
          <w:szCs w:val="22"/>
        </w:rPr>
        <w:t xml:space="preserve">db-migration-agent.md — AUTHORITY: GOVERNED. Executes only after MOS-DB-MIGRATION-CONTROLLER gate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276749" w:val="clear"/>
          </w:tcPr>
          <w:p>
            <w:r>
              <w:t xml:space="preserve"/>
            </w:r>
          </w:p>
        </w:tc>
        <w:tc>
          <w:tcPr>
            <w:tcW w:type="dxa" w:w="9040"/>
            <w:tcBorders>
              <w:top w:val="none" w:color="FFFFFF" w:sz="0"/>
              <w:left w:val="none" w:color="FFFFFF" w:sz="0"/>
              <w:bottom w:val="none" w:color="FFFFFF" w:sz="0"/>
              <w:right w:val="none" w:color="FFFFFF" w:sz="0"/>
            </w:tcBorders>
            <w:shd w:fill="F0FFF4" w:val="clear"/>
            <w:tcMar>
              <w:top w:type="dxa" w:w="120"/>
              <w:left w:type="dxa" w:w="200"/>
              <w:bottom w:type="dxa" w:w="120"/>
              <w:right w:type="dxa" w:w="120"/>
            </w:tcMar>
          </w:tcPr>
          <w:p>
            <w:r>
              <w:rPr>
                <w:rFonts w:ascii="Arial" w:cs="Arial" w:eastAsia="Arial" w:hAnsi="Arial"/>
                <w:b/>
                <w:bCs/>
                <w:color w:val="276749"/>
                <w:sz w:val="20"/>
                <w:szCs w:val="20"/>
              </w:rPr>
              <w:t xml:space="preserve">SUBAGENT ISOLATION RULE</w:t>
            </w:r>
          </w:p>
          <w:p>
            <w:pPr>
              <w:spacing w:before="40"/>
            </w:pPr>
            <w:r>
              <w:rPr>
                <w:rFonts w:ascii="Arial" w:cs="Arial" w:eastAsia="Arial" w:hAnsi="Arial"/>
                <w:color w:val="1A1A2E"/>
                <w:sz w:val="20"/>
                <w:szCs w:val="20"/>
              </w:rPr>
              <w:t xml:space="preserve">Never run a security audit in the same context as active development. Spin a fresh sub-agent. Sub-agents maintain isolated context — information from prior debugging sessions must not contaminate security or compliance analysis.</w:t>
            </w:r>
          </w:p>
        </w:tc>
      </w:tr>
    </w:tbl>
    <w:p>
      <w:pPr>
        <w:pBdr>
          <w:bottom w:val="single" w:color="E94560" w:sz="4" w:space="1"/>
        </w:pBdr>
        <w:spacing w:before="160" w:after="160"/>
      </w:pPr>
      <w:r>
        <w:t xml:space="preserve"/>
      </w:r>
    </w:p>
    <w:p>
      <w:pPr>
        <w:pStyle w:val="Heading1"/>
        <w:pBdr>
          <w:bottom w:val="single" w:color="E94560" w:sz="8" w:space="4"/>
        </w:pBdr>
        <w:spacing w:before="360" w:after="120"/>
      </w:pPr>
      <w:r>
        <w:rPr>
          <w:rFonts w:ascii="Arial" w:cs="Arial" w:eastAsia="Arial" w:hAnsi="Arial"/>
          <w:b/>
          <w:bCs/>
          <w:color w:val="16213E"/>
          <w:sz w:val="36"/>
          <w:szCs w:val="36"/>
        </w:rPr>
        <w:t xml:space="preserve">Part IV: Hardware Architecture — The Multi-Node Mesh</w:t>
      </w:r>
    </w:p>
    <w:p>
      <w:pPr>
        <w:spacing w:before="80" w:after="80" w:line="320"/>
      </w:pPr>
      <w:r>
        <w:rPr>
          <w:rFonts w:ascii="Arial" w:cs="Arial" w:eastAsia="Arial" w:hAnsi="Arial"/>
          <w:color w:val="1A1A2E"/>
          <w:sz w:val="22"/>
          <w:szCs w:val="22"/>
        </w:rPr>
        <w:t xml:space="preserve">The MOS mandates a hardware-first optimization strategy. Software abstractions cannot compensate for hardware misconfiguration. Championship-ready inference requires correct physical topology, RDMA-enabled low-latency communication, and precision GPU partitioning.</w:t>
      </w:r>
    </w:p>
    <w:p>
      <w:r>
        <w:t xml:space="preserve"/>
      </w:r>
    </w:p>
    <w:p>
      <w:pPr>
        <w:pStyle w:val="Heading2"/>
        <w:spacing w:before="280" w:after="100"/>
      </w:pPr>
      <w:r>
        <w:rPr>
          <w:rFonts w:ascii="Arial" w:cs="Arial" w:eastAsia="Arial" w:hAnsi="Arial"/>
          <w:b/>
          <w:bCs/>
          <w:color w:val="0F3460"/>
          <w:sz w:val="28"/>
          <w:szCs w:val="28"/>
        </w:rPr>
        <w:t xml:space="preserve">4.1 Local Edge Cluster — Apple Silicon Full Mesh</w:t>
      </w:r>
    </w:p>
    <w:p>
      <w:pPr>
        <w:spacing w:before="80" w:after="80" w:line="320"/>
      </w:pPr>
      <w:r>
        <w:rPr>
          <w:rFonts w:ascii="Arial" w:cs="Arial" w:eastAsia="Arial" w:hAnsi="Arial"/>
          <w:color w:val="1A1A2E"/>
          <w:sz w:val="22"/>
          <w:szCs w:val="22"/>
        </w:rPr>
        <w:t xml:space="preserve">For local inference clusters using Apple Silicon, the following build path is required to distribute giant models across nodes without communication bottlenecks:</w:t>
      </w:r>
    </w:p>
    <w:p>
      <w:pPr>
        <w:pStyle w:val="ListParagraph"/>
        <w:numPr>
          <w:ilvl w:val="0"/>
          <w:numId w:val="3"/>
        </w:numPr>
        <w:spacing w:before="60" w:after="60"/>
      </w:pPr>
      <w:r>
        <w:rPr>
          <w:rFonts w:ascii="Arial" w:cs="Arial" w:eastAsia="Arial" w:hAnsi="Arial"/>
          <w:color w:val="1A1A2E"/>
          <w:sz w:val="22"/>
          <w:szCs w:val="22"/>
        </w:rPr>
        <w:t xml:space="preserve">Interconnect — Connect all nodes via Thunderbolt 5 in a full mesh topology, NOT a daisy chain. Daisy chains introduce cascading latency that negates the throughput gains of tensor parallelism.</w:t>
      </w:r>
    </w:p>
    <w:p>
      <w:pPr>
        <w:pStyle w:val="ListParagraph"/>
        <w:numPr>
          <w:ilvl w:val="0"/>
          <w:numId w:val="3"/>
        </w:numPr>
        <w:spacing w:before="60" w:after="60"/>
      </w:pPr>
      <w:r>
        <w:rPr>
          <w:rFonts w:ascii="Arial" w:cs="Arial" w:eastAsia="Arial" w:hAnsi="Arial"/>
          <w:color w:val="1A1A2E"/>
          <w:sz w:val="22"/>
          <w:szCs w:val="22"/>
        </w:rPr>
        <w:t xml:space="preserve">RDMA Activation — Enable RDMA via rdma_ctl enable in macOS Tahoe 26.2 Recovery to activate the JACCL backend for low-latency inference communication across nodes.</w:t>
      </w:r>
    </w:p>
    <w:p>
      <w:pPr>
        <w:pStyle w:val="ListParagraph"/>
        <w:numPr>
          <w:ilvl w:val="0"/>
          <w:numId w:val="3"/>
        </w:numPr>
        <w:spacing w:before="60" w:after="60"/>
      </w:pPr>
      <w:r>
        <w:rPr>
          <w:rFonts w:ascii="Arial" w:cs="Arial" w:eastAsia="Arial" w:hAnsi="Arial"/>
          <w:color w:val="1A1A2E"/>
          <w:sz w:val="22"/>
          <w:szCs w:val="22"/>
        </w:rPr>
        <w:t xml:space="preserve">Parallelism Strategy — Once RDMA is active and communication latency is sub-millisecond, prioritize tensor parallelism over pipeline parallelism. Tensor parallelism splits individual model layers across nodes; pipeline parallelism splits the forward pass into stages — only beneficial when communication latency dominates.</w:t>
      </w:r>
    </w:p>
    <w:p>
      <w:pPr>
        <w:pStyle w:val="ListParagraph"/>
        <w:numPr>
          <w:ilvl w:val="0"/>
          <w:numId w:val="3"/>
        </w:numPr>
        <w:spacing w:before="60" w:after="60"/>
      </w:pPr>
      <w:r>
        <w:rPr>
          <w:rFonts w:ascii="Arial" w:cs="Arial" w:eastAsia="Arial" w:hAnsi="Arial"/>
          <w:color w:val="1A1A2E"/>
          <w:sz w:val="22"/>
          <w:szCs w:val="22"/>
        </w:rPr>
        <w:t xml:space="preserve">Memory Architecture — Each M4 Ultra node provides up to 192GB unified memory. A 3-node full mesh delivers 576GB addressable memory for models that exceed single-node capacity.</w:t>
      </w:r>
    </w:p>
    <w:p>
      <w:r>
        <w:t xml:space="preserve"/>
      </w:r>
    </w:p>
    <w:p>
      <w:pPr>
        <w:pStyle w:val="Heading2"/>
        <w:spacing w:before="280" w:after="100"/>
      </w:pPr>
      <w:r>
        <w:rPr>
          <w:rFonts w:ascii="Arial" w:cs="Arial" w:eastAsia="Arial" w:hAnsi="Arial"/>
          <w:b/>
          <w:bCs/>
          <w:color w:val="0F3460"/>
          <w:sz w:val="28"/>
          <w:szCs w:val="28"/>
        </w:rPr>
        <w:t xml:space="preserve">4.2 Cloud / Data Center — NVIDIA MIG Partitioning</w:t>
      </w:r>
    </w:p>
    <w:p>
      <w:pPr>
        <w:spacing w:before="80" w:after="80" w:line="320"/>
      </w:pPr>
      <w:r>
        <w:rPr>
          <w:rFonts w:ascii="Arial" w:cs="Arial" w:eastAsia="Arial" w:hAnsi="Arial"/>
          <w:color w:val="1A1A2E"/>
          <w:sz w:val="22"/>
          <w:szCs w:val="22"/>
        </w:rPr>
        <w:t xml:space="preserve">Maximize ROI on A100 and H100 hardware by partitioning into isolated GPU instances. MIG eliminates the "noisy neighbor" problem — poorly optimized workloads can no longer degrade co-located inference services.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160"/>
        <w:gridCol w:w="3800"/>
      </w:tblGrid>
      <w:tr>
        <w:tc>
          <w:tcPr>
            <w:tcW w:type="dxa" w:w="1800"/>
            <w:tcBorders>
              <w:top w:val="single" w:color="0F3460" w:sz="1"/>
              <w:left w:val="single" w:color="0F3460" w:sz="1"/>
              <w:bottom w:val="single" w:color="0F3460" w:sz="1"/>
              <w:right w:val="single" w:color="0F3460"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MIG Profile</w:t>
            </w:r>
          </w:p>
        </w:tc>
        <w:tc>
          <w:tcPr>
            <w:tcW w:type="dxa" w:w="1400"/>
            <w:tcBorders>
              <w:top w:val="single" w:color="0F3460" w:sz="1"/>
              <w:left w:val="single" w:color="0F3460" w:sz="1"/>
              <w:bottom w:val="single" w:color="0F3460" w:sz="1"/>
              <w:right w:val="single" w:color="0F3460"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SM Slices</w:t>
            </w:r>
          </w:p>
        </w:tc>
        <w:tc>
          <w:tcPr>
            <w:tcW w:type="dxa" w:w="2160"/>
            <w:tcBorders>
              <w:top w:val="single" w:color="0F3460" w:sz="1"/>
              <w:left w:val="single" w:color="0F3460" w:sz="1"/>
              <w:bottom w:val="single" w:color="0F3460" w:sz="1"/>
              <w:right w:val="single" w:color="0F3460"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DRAM Allocation</w:t>
            </w:r>
          </w:p>
        </w:tc>
        <w:tc>
          <w:tcPr>
            <w:tcW w:type="dxa" w:w="3800"/>
            <w:tcBorders>
              <w:top w:val="single" w:color="0F3460" w:sz="1"/>
              <w:left w:val="single" w:color="0F3460" w:sz="1"/>
              <w:bottom w:val="single" w:color="0F3460" w:sz="1"/>
              <w:right w:val="single" w:color="0F3460"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Recommended Use Case</w:t>
            </w:r>
          </w:p>
        </w:tc>
      </w:tr>
      <w:tr>
        <w:tc>
          <w:tcPr>
            <w:tcW w:type="dxa" w:w="1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1g.5gb</w:t>
            </w:r>
          </w:p>
        </w:tc>
        <w:tc>
          <w:tcPr>
            <w:tcW w:type="dxa" w:w="1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21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5 GB</w:t>
            </w:r>
          </w:p>
        </w:tc>
        <w:tc>
          <w:tcPr>
            <w:tcW w:type="dxa" w:w="3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Development, CI validation, intermittent single-request workloads</w:t>
            </w:r>
          </w:p>
        </w:tc>
      </w:tr>
      <w:tr>
        <w:tc>
          <w:tcPr>
            <w:tcW w:type="dxa" w:w="1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2g.10gb</w:t>
            </w:r>
          </w:p>
        </w:tc>
        <w:tc>
          <w:tcPr>
            <w:tcW w:type="dxa" w:w="1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21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10 GB</w:t>
            </w:r>
          </w:p>
        </w:tc>
        <w:tc>
          <w:tcPr>
            <w:tcW w:type="dxa" w:w="3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Light multi-tenant inference, evaluation pipelines</w:t>
            </w:r>
          </w:p>
        </w:tc>
      </w:tr>
      <w:tr>
        <w:tc>
          <w:tcPr>
            <w:tcW w:type="dxa" w:w="1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3g.20gb</w:t>
            </w:r>
          </w:p>
        </w:tc>
        <w:tc>
          <w:tcPr>
            <w:tcW w:type="dxa" w:w="1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21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20 GB</w:t>
            </w:r>
          </w:p>
        </w:tc>
        <w:tc>
          <w:tcPr>
            <w:tcW w:type="dxa" w:w="3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Balanced multi-tenant production: optimal isolation/throughput ratio</w:t>
            </w:r>
          </w:p>
        </w:tc>
      </w:tr>
      <w:tr>
        <w:tc>
          <w:tcPr>
            <w:tcW w:type="dxa" w:w="1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4g.20gb</w:t>
            </w:r>
          </w:p>
        </w:tc>
        <w:tc>
          <w:tcPr>
            <w:tcW w:type="dxa" w:w="1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21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20 GB</w:t>
            </w:r>
          </w:p>
        </w:tc>
        <w:tc>
          <w:tcPr>
            <w:tcW w:type="dxa" w:w="3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High-concurrency inference with moderate context windows</w:t>
            </w:r>
          </w:p>
        </w:tc>
      </w:tr>
      <w:tr>
        <w:tc>
          <w:tcPr>
            <w:tcW w:type="dxa" w:w="1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7g.40gb / 7g.80gb</w:t>
            </w:r>
          </w:p>
        </w:tc>
        <w:tc>
          <w:tcPr>
            <w:tcW w:type="dxa" w:w="1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7</w:t>
            </w:r>
          </w:p>
        </w:tc>
        <w:tc>
          <w:tcPr>
            <w:tcW w:type="dxa" w:w="21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Full DRAM</w:t>
            </w:r>
          </w:p>
        </w:tc>
        <w:tc>
          <w:tcPr>
            <w:tcW w:type="dxa" w:w="3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Heavy training, large reasoners (70B+), RAG with large retrievals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F5A623" w:val="clear"/>
          </w:tcPr>
          <w:p>
            <w:r>
              <w:t xml:space="preserve"/>
            </w:r>
          </w:p>
        </w:tc>
        <w:tc>
          <w:tcPr>
            <w:tcW w:type="dxa" w:w="9040"/>
            <w:tcBorders>
              <w:top w:val="none" w:color="FFFFFF" w:sz="0"/>
              <w:left w:val="none" w:color="FFFFFF" w:sz="0"/>
              <w:bottom w:val="none" w:color="FFFFFF" w:sz="0"/>
              <w:right w:val="none" w:color="FFFFFF" w:sz="0"/>
            </w:tcBorders>
            <w:shd w:fill="FFF8E7" w:val="clear"/>
            <w:tcMar>
              <w:top w:type="dxa" w:w="120"/>
              <w:left w:type="dxa" w:w="200"/>
              <w:bottom w:type="dxa" w:w="120"/>
              <w:right w:type="dxa" w:w="120"/>
            </w:tcMar>
          </w:tcPr>
          <w:p>
            <w:r>
              <w:rPr>
                <w:rFonts w:ascii="Arial" w:cs="Arial" w:eastAsia="Arial" w:hAnsi="Arial"/>
                <w:b/>
                <w:bCs/>
                <w:color w:val="F5A623"/>
                <w:sz w:val="20"/>
                <w:szCs w:val="20"/>
              </w:rPr>
              <w:t xml:space="preserve">ANGEL'S ADVOCATE — Hardware</w:t>
            </w:r>
          </w:p>
          <w:p>
            <w:pPr>
              <w:spacing w:before="40"/>
            </w:pPr>
            <w:r>
              <w:rPr>
                <w:rFonts w:ascii="Arial" w:cs="Arial" w:eastAsia="Arial" w:hAnsi="Arial"/>
                <w:color w:val="1A1A2E"/>
                <w:sz w:val="20"/>
                <w:szCs w:val="20"/>
              </w:rPr>
              <w:t xml:space="preserve">MIG partitioning requires careful VRAM budgeting. A 3g.20gb instance allocated to a 13B model in FP16 has no headroom for KV cache growth under high-concurrency loads. Always benchmark with production-realistic concurrent request counts before fixing partition profiles in production.</w:t>
            </w:r>
          </w:p>
        </w:tc>
      </w:tr>
    </w:tbl>
    <w:p>
      <w:pPr>
        <w:pBdr>
          <w:bottom w:val="single" w:color="E94560" w:sz="4" w:space="1"/>
        </w:pBdr>
        <w:spacing w:before="160" w:after="160"/>
      </w:pPr>
      <w:r>
        <w:t xml:space="preserve"/>
      </w:r>
    </w:p>
    <w:p>
      <w:pPr>
        <w:pStyle w:val="Heading1"/>
        <w:pBdr>
          <w:bottom w:val="single" w:color="E94560" w:sz="8" w:space="4"/>
        </w:pBdr>
        <w:spacing w:before="360" w:after="120"/>
      </w:pPr>
      <w:r>
        <w:rPr>
          <w:rFonts w:ascii="Arial" w:cs="Arial" w:eastAsia="Arial" w:hAnsi="Arial"/>
          <w:b/>
          <w:bCs/>
          <w:color w:val="16213E"/>
          <w:sz w:val="36"/>
          <w:szCs w:val="36"/>
        </w:rPr>
        <w:t xml:space="preserve">Part V: Autonomous Platform Engineering — The DevOpsStack Core</w:t>
      </w:r>
    </w:p>
    <w:p>
      <w:pPr>
        <w:spacing w:before="80" w:after="80" w:line="320"/>
      </w:pPr>
      <w:r>
        <w:rPr>
          <w:rFonts w:ascii="Arial" w:cs="Arial" w:eastAsia="Arial" w:hAnsi="Arial"/>
          <w:color w:val="1A1A2E"/>
          <w:sz w:val="22"/>
          <w:szCs w:val="22"/>
        </w:rPr>
        <w:t xml:space="preserve">The MOS eliminates TicketOps — the latency-inducing cycle of humans filing tickets, waiting for approval, and manually executing infrastructure changes. In its place, policy-driven Golden Paths allow AI agents to interpret business intent and autonomously compose, validate, and provision the required stack.</w:t>
      </w:r>
    </w:p>
    <w:p>
      <w:r>
        <w:t xml:space="preserve"/>
      </w:r>
    </w:p>
    <w:p>
      <w:pPr>
        <w:pStyle w:val="Heading2"/>
        <w:spacing w:before="280" w:after="100"/>
      </w:pPr>
      <w:r>
        <w:rPr>
          <w:rFonts w:ascii="Arial" w:cs="Arial" w:eastAsia="Arial" w:hAnsi="Arial"/>
          <w:b/>
          <w:bCs/>
          <w:color w:val="0F3460"/>
          <w:sz w:val="28"/>
          <w:szCs w:val="28"/>
        </w:rPr>
        <w:t xml:space="preserve">5.1 Golden Paths and Intent-to-Infrastructure</w:t>
      </w:r>
    </w:p>
    <w:p>
      <w:pPr>
        <w:spacing w:before="80" w:after="80" w:line="320"/>
      </w:pPr>
      <w:r>
        <w:rPr>
          <w:rFonts w:ascii="Arial" w:cs="Arial" w:eastAsia="Arial" w:hAnsi="Arial"/>
          <w:color w:val="1A1A2E"/>
          <w:sz w:val="22"/>
          <w:szCs w:val="22"/>
        </w:rPr>
        <w:t xml:space="preserve">Golden Paths are pre-validated, policy-compliant infrastructure templates that agents can instantiate from natural language intent. An operator states: "Deploy an air-gapped RAG node in the EU Data Fortress zone." The orchestration agent resolves this to a Terraform module, validates it against MIG allocation policies, checks EU data residency requirements, and provisions — without a single human approval step.</w:t>
      </w:r>
    </w:p>
    <w:p>
      <w:r>
        <w:t xml:space="preserve"/>
      </w:r>
    </w:p>
    <w:p>
      <w:pPr>
        <w:pStyle w:val="Heading2"/>
        <w:spacing w:before="280" w:after="100"/>
      </w:pPr>
      <w:r>
        <w:rPr>
          <w:rFonts w:ascii="Arial" w:cs="Arial" w:eastAsia="Arial" w:hAnsi="Arial"/>
          <w:b/>
          <w:bCs/>
          <w:color w:val="0F3460"/>
          <w:sz w:val="28"/>
          <w:szCs w:val="28"/>
        </w:rPr>
        <w:t xml:space="preserve">5.2 The Janitor Agent — Zombie Infrastructure Elimination</w:t>
      </w:r>
    </w:p>
    <w:p>
      <w:pPr>
        <w:spacing w:before="80" w:after="80" w:line="320"/>
      </w:pPr>
      <w:r>
        <w:rPr>
          <w:rFonts w:ascii="Arial" w:cs="Arial" w:eastAsia="Arial" w:hAnsi="Arial"/>
          <w:color w:val="1A1A2E"/>
          <w:sz w:val="22"/>
          <w:szCs w:val="22"/>
        </w:rPr>
        <w:t xml:space="preserve">Every resource provisioned by this stack carries an embedded Time-to-Live (TTL) tag. The Janitor Agent runs as a scheduled background process, scanning for resources that have exceeded their TTL without renewal. It decommissions zombie infrastructure, reduces cloud waste, and eliminates the attack surface of forgotten, unpatched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DD8" w:sz="1"/>
              <w:left w:val="single" w:color="C8CDD8" w:sz="1"/>
              <w:bottom w:val="single" w:color="C8CDD8" w:sz="1"/>
              <w:right w:val="single" w:color="C8CDD8" w:sz="1"/>
            </w:tcBorders>
            <w:shd w:fill="1E1E2E" w:val="clear"/>
            <w:tcMar>
              <w:top w:type="dxa" w:w="120"/>
              <w:left w:type="dxa" w:w="200"/>
              <w:bottom w:type="dxa" w:w="120"/>
              <w:right w:type="dxa" w:w="200"/>
            </w:tcMar>
          </w:tcPr>
          <w:p>
            <w:r>
              <w:rPr>
                <w:rFonts w:ascii="Courier New" w:cs="Courier New" w:eastAsia="Courier New" w:hAnsi="Courier New"/>
                <w:color w:val="E2E8F0"/>
                <w:sz w:val="18"/>
                <w:szCs w:val="18"/>
              </w:rPr>
              <w:t xml:space="preserve"># Resource TTL Policy</w:t>
            </w:r>
          </w:p>
          <w:p>
            <w:r>
              <w:rPr>
                <w:rFonts w:ascii="Courier New" w:cs="Courier New" w:eastAsia="Courier New" w:hAnsi="Courier New"/>
                <w:color w:val="E2E8F0"/>
                <w:sz w:val="18"/>
                <w:szCs w:val="18"/>
              </w:rPr>
              <w:t xml:space="preserve">apiVersion: mos/v8</w:t>
            </w:r>
          </w:p>
          <w:p>
            <w:r>
              <w:rPr>
                <w:rFonts w:ascii="Courier New" w:cs="Courier New" w:eastAsia="Courier New" w:hAnsi="Courier New"/>
                <w:color w:val="E2E8F0"/>
                <w:sz w:val="18"/>
                <w:szCs w:val="18"/>
              </w:rPr>
              <w:t xml:space="preserve">kind: ResourceTTLPolicy</w:t>
            </w:r>
          </w:p>
          <w:p>
            <w:r>
              <w:rPr>
                <w:rFonts w:ascii="Courier New" w:cs="Courier New" w:eastAsia="Courier New" w:hAnsi="Courier New"/>
                <w:color w:val="E2E8F0"/>
                <w:sz w:val="18"/>
                <w:szCs w:val="18"/>
              </w:rPr>
              <w:t xml:space="preserve">metadata:</w:t>
            </w:r>
          </w:p>
          <w:p>
            <w:r>
              <w:rPr>
                <w:rFonts w:ascii="Courier New" w:cs="Courier New" w:eastAsia="Courier New" w:hAnsi="Courier New"/>
                <w:color w:val="E2E8F0"/>
                <w:sz w:val="18"/>
                <w:szCs w:val="18"/>
              </w:rPr>
              <w:t xml:space="preserve">  name: default-compute-ttl</w:t>
            </w:r>
          </w:p>
          <w:p>
            <w:r>
              <w:rPr>
                <w:rFonts w:ascii="Courier New" w:cs="Courier New" w:eastAsia="Courier New" w:hAnsi="Courier New"/>
                <w:color w:val="E2E8F0"/>
                <w:sz w:val="18"/>
                <w:szCs w:val="18"/>
              </w:rPr>
              <w:t xml:space="preserve">spec:</w:t>
            </w:r>
          </w:p>
          <w:p>
            <w:r>
              <w:rPr>
                <w:rFonts w:ascii="Courier New" w:cs="Courier New" w:eastAsia="Courier New" w:hAnsi="Courier New"/>
                <w:color w:val="E2E8F0"/>
                <w:sz w:val="18"/>
                <w:szCs w:val="18"/>
              </w:rPr>
              <w:t xml:space="preserve">  default_ttl_hours: 72          # all ephemeral compute defaults to 72hr</w:t>
            </w:r>
          </w:p>
          <w:p>
            <w:r>
              <w:rPr>
                <w:rFonts w:ascii="Courier New" w:cs="Courier New" w:eastAsia="Courier New" w:hAnsi="Courier New"/>
                <w:color w:val="E2E8F0"/>
                <w:sz w:val="18"/>
                <w:szCs w:val="18"/>
              </w:rPr>
              <w:t xml:space="preserve">  dev_environment_ttl_hours: 8   # dev clusters decommissioned after 8hr</w:t>
            </w:r>
          </w:p>
          <w:p>
            <w:r>
              <w:rPr>
                <w:rFonts w:ascii="Courier New" w:cs="Courier New" w:eastAsia="Courier New" w:hAnsi="Courier New"/>
                <w:color w:val="E2E8F0"/>
                <w:sz w:val="18"/>
                <w:szCs w:val="18"/>
              </w:rPr>
              <w:t xml:space="preserve">  staging_ttl_days: 7            # staging environments live 7 days</w:t>
            </w:r>
          </w:p>
          <w:p>
            <w:r>
              <w:rPr>
                <w:rFonts w:ascii="Courier New" w:cs="Courier New" w:eastAsia="Courier New" w:hAnsi="Courier New"/>
                <w:color w:val="E2E8F0"/>
                <w:sz w:val="18"/>
                <w:szCs w:val="18"/>
              </w:rPr>
              <w:t xml:space="preserve">  production_ttl: null           # production has no TTL — requires explicit decommission</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renewal_mechanism: tag          # operator renews by updating 'ttl_expires' tag</w:t>
            </w:r>
          </w:p>
          <w:p>
            <w:r>
              <w:rPr>
                <w:rFonts w:ascii="Courier New" w:cs="Courier New" w:eastAsia="Courier New" w:hAnsi="Courier New"/>
                <w:color w:val="E2E8F0"/>
                <w:sz w:val="18"/>
                <w:szCs w:val="18"/>
              </w:rPr>
              <w:t xml:space="preserve">  janitor_scan_interval: 900      # scan every 15 minutes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warning_before_decommission_hours: 4</w:t>
            </w:r>
          </w:p>
          <w:p>
            <w:r>
              <w:rPr>
                <w:rFonts w:ascii="Courier New" w:cs="Courier New" w:eastAsia="Courier New" w:hAnsi="Courier New"/>
                <w:color w:val="E2E8F0"/>
                <w:sz w:val="18"/>
                <w:szCs w:val="18"/>
              </w:rPr>
              <w:t xml:space="preserve">  notification_channel: "#platform-alerts"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exceptions:</w:t>
            </w:r>
          </w:p>
          <w:p>
            <w:r>
              <w:rPr>
                <w:rFonts w:ascii="Courier New" w:cs="Courier New" w:eastAsia="Courier New" w:hAnsi="Courier New"/>
                <w:color w:val="E2E8F0"/>
                <w:sz w:val="18"/>
                <w:szCs w:val="18"/>
              </w:rPr>
              <w:t xml:space="preserve">    - resource_type: database      # databases require DBA approval for decommission</w:t>
            </w:r>
          </w:p>
          <w:p>
            <w:r>
              <w:rPr>
                <w:rFonts w:ascii="Courier New" w:cs="Courier New" w:eastAsia="Courier New" w:hAnsi="Courier New"/>
                <w:color w:val="E2E8F0"/>
                <w:sz w:val="18"/>
                <w:szCs w:val="18"/>
              </w:rPr>
              <w:t xml:space="preserve">    - resource_tag: data_fortress  # sovereign compute zones require legal sign-off</w:t>
            </w:r>
          </w:p>
        </w:tc>
      </w:tr>
    </w:tbl>
    <w:p>
      <w:r>
        <w:t xml:space="preserve"/>
      </w:r>
    </w:p>
    <w:p>
      <w:pPr>
        <w:pStyle w:val="Heading2"/>
        <w:spacing w:before="280" w:after="100"/>
      </w:pPr>
      <w:r>
        <w:rPr>
          <w:rFonts w:ascii="Arial" w:cs="Arial" w:eastAsia="Arial" w:hAnsi="Arial"/>
          <w:b/>
          <w:bCs/>
          <w:color w:val="0F3460"/>
          <w:sz w:val="28"/>
          <w:szCs w:val="28"/>
        </w:rPr>
        <w:t xml:space="preserve">5.3 Self-Healing Loops — Sense → Learn → Decide → Act</w:t>
      </w:r>
    </w:p>
    <w:p>
      <w:pPr>
        <w:spacing w:before="80" w:after="80" w:line="320"/>
      </w:pPr>
      <w:r>
        <w:rPr>
          <w:rFonts w:ascii="Arial" w:cs="Arial" w:eastAsia="Arial" w:hAnsi="Arial"/>
          <w:color w:val="1A1A2E"/>
          <w:sz w:val="22"/>
          <w:szCs w:val="22"/>
        </w:rPr>
        <w:t xml:space="preserve">The stack uses a four-phase autonomous remediation cycle driven by OpenTelemetry anomaly detection. When a metric deviates beyond its SLO threshold, the system does not page a human — it initiates a remediation agent. The human is notified of the resolution, not the incident.</w:t>
      </w:r>
    </w:p>
    <w:p>
      <w:pPr>
        <w:pStyle w:val="ListParagraph"/>
        <w:numPr>
          <w:ilvl w:val="0"/>
          <w:numId w:val="2"/>
        </w:numPr>
        <w:spacing w:before="60" w:after="60"/>
      </w:pPr>
      <w:r>
        <w:rPr>
          <w:rFonts w:ascii="Arial" w:cs="Arial" w:eastAsia="Arial" w:hAnsi="Arial"/>
          <w:color w:val="1A1A2E"/>
          <w:sz w:val="22"/>
          <w:szCs w:val="22"/>
        </w:rPr>
        <w:t xml:space="preserve">Sense — OTel collectors detect anomaly: TTFT exceeds 200ms p99, error rate spikes, or GPU memory pressure hits 90%.</w:t>
      </w:r>
    </w:p>
    <w:p>
      <w:pPr>
        <w:pStyle w:val="ListParagraph"/>
        <w:numPr>
          <w:ilvl w:val="0"/>
          <w:numId w:val="2"/>
        </w:numPr>
        <w:spacing w:before="60" w:after="60"/>
      </w:pPr>
      <w:r>
        <w:rPr>
          <w:rFonts w:ascii="Arial" w:cs="Arial" w:eastAsia="Arial" w:hAnsi="Arial"/>
          <w:color w:val="1A1A2E"/>
          <w:sz w:val="22"/>
          <w:szCs w:val="22"/>
        </w:rPr>
        <w:t xml:space="preserve">Learn — Reflector agent queries the Knowledge Graph for similar historical incidents and their resolution patterns.</w:t>
      </w:r>
    </w:p>
    <w:p>
      <w:pPr>
        <w:pStyle w:val="ListParagraph"/>
        <w:numPr>
          <w:ilvl w:val="0"/>
          <w:numId w:val="2"/>
        </w:numPr>
        <w:spacing w:before="60" w:after="60"/>
      </w:pPr>
      <w:r>
        <w:rPr>
          <w:rFonts w:ascii="Arial" w:cs="Arial" w:eastAsia="Arial" w:hAnsi="Arial"/>
          <w:color w:val="1A1A2E"/>
          <w:sz w:val="22"/>
          <w:szCs w:val="22"/>
        </w:rPr>
        <w:t xml:space="preserve">Decide — Agent selects the highest-confidence remediation action from prior successful trajectories, subject to permission gate.</w:t>
      </w:r>
    </w:p>
    <w:p>
      <w:pPr>
        <w:pStyle w:val="ListParagraph"/>
        <w:numPr>
          <w:ilvl w:val="0"/>
          <w:numId w:val="2"/>
        </w:numPr>
        <w:spacing w:before="60" w:after="60"/>
      </w:pPr>
      <w:r>
        <w:rPr>
          <w:rFonts w:ascii="Arial" w:cs="Arial" w:eastAsia="Arial" w:hAnsi="Arial"/>
          <w:color w:val="1A1A2E"/>
          <w:sz w:val="22"/>
          <w:szCs w:val="22"/>
        </w:rPr>
        <w:t xml:space="preserve">Act — Remediation executes within its authority level. Incidents resolve within 5–15 minutes. Outcome is written to Long-Term Memory for future STaR training.</w:t>
      </w:r>
    </w:p>
    <w:p>
      <w:r>
        <w:t xml:space="preserve"/>
      </w:r>
    </w:p>
    <w:p>
      <w:pPr>
        <w:pStyle w:val="Heading2"/>
        <w:spacing w:before="280" w:after="100"/>
      </w:pPr>
      <w:r>
        <w:rPr>
          <w:rFonts w:ascii="Arial" w:cs="Arial" w:eastAsia="Arial" w:hAnsi="Arial"/>
          <w:b/>
          <w:bCs/>
          <w:color w:val="0F3460"/>
          <w:sz w:val="28"/>
          <w:szCs w:val="28"/>
        </w:rPr>
        <w:t xml:space="preserve">5.4 ModelCar Packaging — OCI-Compliant Model Deployment</w:t>
      </w:r>
    </w:p>
    <w:p>
      <w:pPr>
        <w:spacing w:before="80" w:after="80" w:line="320"/>
      </w:pPr>
      <w:r>
        <w:rPr>
          <w:rFonts w:ascii="Arial" w:cs="Arial" w:eastAsia="Arial" w:hAnsi="Arial"/>
          <w:color w:val="1A1A2E"/>
          <w:sz w:val="22"/>
          <w:szCs w:val="22"/>
        </w:rPr>
        <w:t xml:space="preserve">AI models are packaged as OCI-compliant containers using the ModelCar pattern. The container image bundles model weights, the vLLM runtime, and its specific configuration together — ensuring consistent, reproducible deployment across hybrid cloud environments, edge nodes, and Data Fortresses without runtime dependency drift.</w:t>
      </w:r>
    </w:p>
    <w:p>
      <w:pPr>
        <w:pBdr>
          <w:bottom w:val="single" w:color="E94560" w:sz="4" w:space="1"/>
        </w:pBdr>
        <w:spacing w:before="160" w:after="160"/>
      </w:pPr>
      <w:r>
        <w:t xml:space="preserve"/>
      </w:r>
    </w:p>
    <w:p>
      <w:pPr>
        <w:pStyle w:val="Heading1"/>
        <w:pBdr>
          <w:bottom w:val="single" w:color="E94560" w:sz="8" w:space="4"/>
        </w:pBdr>
        <w:spacing w:before="360" w:after="120"/>
      </w:pPr>
      <w:r>
        <w:rPr>
          <w:rFonts w:ascii="Arial" w:cs="Arial" w:eastAsia="Arial" w:hAnsi="Arial"/>
          <w:b/>
          <w:bCs/>
          <w:color w:val="16213E"/>
          <w:sz w:val="36"/>
          <w:szCs w:val="36"/>
        </w:rPr>
        <w:t xml:space="preserve">Part VI: Advanced Inference — Disaggregated Racing Strategy</w:t>
      </w:r>
    </w:p>
    <w:p>
      <w:pPr>
        <w:spacing w:before="80" w:after="80" w:line="320"/>
      </w:pPr>
      <w:r>
        <w:rPr>
          <w:rFonts w:ascii="Arial" w:cs="Arial" w:eastAsia="Arial" w:hAnsi="Arial"/>
          <w:color w:val="1A1A2E"/>
          <w:sz w:val="22"/>
          <w:szCs w:val="22"/>
        </w:rPr>
        <w:t xml:space="preserve">To achieve maximum production throughput, the MOS disaggregates the inference pipeline into two distinct computational phases with independent hardware assignment. This is the llm-d + vLLM "Pit Crew" strategy — inspired by Formula 1 race operations where prefill is the formation lap and decode is the race itself.</w:t>
      </w:r>
    </w:p>
    <w:p>
      <w:r>
        <w:t xml:space="preserve"/>
      </w:r>
    </w:p>
    <w:p>
      <w:pPr>
        <w:pStyle w:val="Heading2"/>
        <w:spacing w:before="280" w:after="100"/>
      </w:pPr>
      <w:r>
        <w:rPr>
          <w:rFonts w:ascii="Arial" w:cs="Arial" w:eastAsia="Arial" w:hAnsi="Arial"/>
          <w:b/>
          <w:bCs/>
          <w:color w:val="0F3460"/>
          <w:sz w:val="28"/>
          <w:szCs w:val="28"/>
        </w:rPr>
        <w:t xml:space="preserve">6.1 Phase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80"/>
        <w:gridCol w:w="2280"/>
      </w:tblGrid>
      <w:tr>
        <w:tc>
          <w:tcPr>
            <w:tcW w:type="dxa" w:w="1800"/>
            <w:tcBorders>
              <w:top w:val="single" w:color="0F3460" w:sz="1"/>
              <w:left w:val="single" w:color="0F3460" w:sz="1"/>
              <w:bottom w:val="single" w:color="0F3460" w:sz="1"/>
              <w:right w:val="single" w:color="0F3460"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0F3460" w:sz="1"/>
              <w:left w:val="single" w:color="0F3460" w:sz="1"/>
              <w:bottom w:val="single" w:color="0F3460" w:sz="1"/>
              <w:right w:val="single" w:color="0F3460"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Computation Profile</w:t>
            </w:r>
          </w:p>
        </w:tc>
        <w:tc>
          <w:tcPr>
            <w:tcW w:type="dxa" w:w="2480"/>
            <w:tcBorders>
              <w:top w:val="single" w:color="0F3460" w:sz="1"/>
              <w:left w:val="single" w:color="0F3460" w:sz="1"/>
              <w:bottom w:val="single" w:color="0F3460" w:sz="1"/>
              <w:right w:val="single" w:color="0F3460"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Hardware Assignment</w:t>
            </w:r>
          </w:p>
        </w:tc>
        <w:tc>
          <w:tcPr>
            <w:tcW w:type="dxa" w:w="2280"/>
            <w:tcBorders>
              <w:top w:val="single" w:color="0F3460" w:sz="1"/>
              <w:left w:val="single" w:color="0F3460" w:sz="1"/>
              <w:bottom w:val="single" w:color="0F3460" w:sz="1"/>
              <w:right w:val="single" w:color="0F3460"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Optimization Target</w:t>
            </w:r>
          </w:p>
        </w:tc>
      </w:tr>
      <w:tr>
        <w:tc>
          <w:tcPr>
            <w:tcW w:type="dxa" w:w="1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Prefill (Formation Lap)</w:t>
            </w:r>
          </w:p>
        </w:tc>
        <w:tc>
          <w:tcPr>
            <w:tcW w:type="dxa" w:w="2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Compute-heavy: tokenization, KV cache population, attention over full prompt</w:t>
            </w:r>
          </w:p>
        </w:tc>
        <w:tc>
          <w:tcPr>
            <w:tcW w:type="dxa" w:w="248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High-memory CPUs when GPUs are saturated; can be offloaded without quality loss</w:t>
            </w:r>
          </w:p>
        </w:tc>
        <w:tc>
          <w:tcPr>
            <w:tcW w:type="dxa" w:w="228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Throughput: maximize tokens processed per second</w:t>
            </w:r>
          </w:p>
        </w:tc>
      </w:tr>
      <w:tr>
        <w:tc>
          <w:tcPr>
            <w:tcW w:type="dxa" w:w="1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Decode (The Race)</w:t>
            </w:r>
          </w:p>
        </w:tc>
        <w:tc>
          <w:tcPr>
            <w:tcW w:type="dxa" w:w="2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Latency-sensitive: iterative, autoregressive token generation</w:t>
            </w:r>
          </w:p>
        </w:tc>
        <w:tc>
          <w:tcPr>
            <w:tcW w:type="dxa" w:w="248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Performance GPUs with PagedAttention memory management</w:t>
            </w:r>
          </w:p>
        </w:tc>
        <w:tc>
          <w:tcPr>
            <w:tcW w:type="dxa" w:w="228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Latency: minimize time-between-tokens</w:t>
            </w:r>
          </w:p>
        </w:tc>
      </w:tr>
    </w:tbl>
    <w:p>
      <w:r>
        <w:t xml:space="preserve"/>
      </w:r>
    </w:p>
    <w:p>
      <w:pPr>
        <w:pStyle w:val="Heading2"/>
        <w:spacing w:before="280" w:after="100"/>
      </w:pPr>
      <w:r>
        <w:rPr>
          <w:rFonts w:ascii="Arial" w:cs="Arial" w:eastAsia="Arial" w:hAnsi="Arial"/>
          <w:b/>
          <w:bCs/>
          <w:color w:val="0F3460"/>
          <w:sz w:val="28"/>
          <w:szCs w:val="28"/>
        </w:rPr>
        <w:t xml:space="preserve">6.2 Prefix-Aware Routing and Cache Hit Rate</w:t>
      </w:r>
    </w:p>
    <w:p>
      <w:pPr>
        <w:spacing w:before="80" w:after="80" w:line="320"/>
      </w:pPr>
      <w:r>
        <w:rPr>
          <w:rFonts w:ascii="Arial" w:cs="Arial" w:eastAsia="Arial" w:hAnsi="Arial"/>
          <w:color w:val="1A1A2E"/>
          <w:sz w:val="22"/>
          <w:szCs w:val="22"/>
        </w:rPr>
        <w:t xml:space="preserve">The Inference Gateway routes incoming prompts to the replica that already holds the largest matching prefix in its KV cache. This is the single highest-leverage optimization in production LLM serving: a cache hit eliminates the prefill computation entirely, reducing TTFT from 200ms to sub-10ms for repeated context patterns.</w:t>
      </w:r>
    </w:p>
    <w:p>
      <w:pPr>
        <w:pStyle w:val="ListParagraph"/>
        <w:numPr>
          <w:ilvl w:val="0"/>
          <w:numId w:val="3"/>
        </w:numPr>
        <w:spacing w:before="60" w:after="60"/>
      </w:pPr>
      <w:r>
        <w:rPr>
          <w:rFonts w:ascii="Arial" w:cs="Arial" w:eastAsia="Arial" w:hAnsi="Arial"/>
          <w:color w:val="1A1A2E"/>
          <w:sz w:val="22"/>
          <w:szCs w:val="22"/>
        </w:rPr>
        <w:t xml:space="preserve">Target: &gt;95% cache hit rate on production traffic with stable system prompts and shared RAG retrievals.</w:t>
      </w:r>
    </w:p>
    <w:p>
      <w:pPr>
        <w:pStyle w:val="ListParagraph"/>
        <w:numPr>
          <w:ilvl w:val="0"/>
          <w:numId w:val="3"/>
        </w:numPr>
        <w:spacing w:before="60" w:after="60"/>
      </w:pPr>
      <w:r>
        <w:rPr>
          <w:rFonts w:ascii="Arial" w:cs="Arial" w:eastAsia="Arial" w:hAnsi="Arial"/>
          <w:color w:val="1A1A2E"/>
          <w:sz w:val="22"/>
          <w:szCs w:val="22"/>
        </w:rPr>
        <w:t xml:space="preserve">Implementation: llm-d routing layer with consistent hashing on prompt prefix fingerprints.</w:t>
      </w:r>
    </w:p>
    <w:p>
      <w:pPr>
        <w:pStyle w:val="ListParagraph"/>
        <w:numPr>
          <w:ilvl w:val="0"/>
          <w:numId w:val="3"/>
        </w:numPr>
        <w:spacing w:before="60" w:after="60"/>
      </w:pPr>
      <w:r>
        <w:rPr>
          <w:rFonts w:ascii="Arial" w:cs="Arial" w:eastAsia="Arial" w:hAnsi="Arial"/>
          <w:color w:val="1A1A2E"/>
          <w:sz w:val="22"/>
          <w:szCs w:val="22"/>
        </w:rPr>
        <w:t xml:space="preserve">Fallback: Cold prompts route to the replica with the lowest current queue depth.</w:t>
      </w:r>
    </w:p>
    <w:p>
      <w:r>
        <w:t xml:space="preserve"/>
      </w:r>
    </w:p>
    <w:p>
      <w:pPr>
        <w:pStyle w:val="Heading2"/>
        <w:spacing w:before="280" w:after="100"/>
      </w:pPr>
      <w:r>
        <w:rPr>
          <w:rFonts w:ascii="Arial" w:cs="Arial" w:eastAsia="Arial" w:hAnsi="Arial"/>
          <w:b/>
          <w:bCs/>
          <w:color w:val="0F3460"/>
          <w:sz w:val="28"/>
          <w:szCs w:val="28"/>
        </w:rPr>
        <w:t xml:space="preserve">6.3 Edge Latency Formula</w:t>
      </w:r>
    </w:p>
    <w:p>
      <w:pPr>
        <w:spacing w:before="80" w:after="80" w:line="320"/>
      </w:pPr>
      <w:r>
        <w:rPr>
          <w:rFonts w:ascii="Arial" w:cs="Arial" w:eastAsia="Arial" w:hAnsi="Arial"/>
          <w:color w:val="1A1A2E"/>
          <w:sz w:val="22"/>
          <w:szCs w:val="22"/>
        </w:rPr>
        <w:t xml:space="preserve">The fundamental equation governing edge deployment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DD8" w:sz="1"/>
              <w:left w:val="single" w:color="C8CDD8" w:sz="1"/>
              <w:bottom w:val="single" w:color="C8CDD8" w:sz="1"/>
              <w:right w:val="single" w:color="C8CDD8" w:sz="1"/>
            </w:tcBorders>
            <w:shd w:fill="1E1E2E" w:val="clear"/>
            <w:tcMar>
              <w:top w:type="dxa" w:w="120"/>
              <w:left w:type="dxa" w:w="200"/>
              <w:bottom w:type="dxa" w:w="120"/>
              <w:right w:type="dxa" w:w="200"/>
            </w:tcMar>
          </w:tcPr>
          <w:p>
            <w:r>
              <w:rPr>
                <w:rFonts w:ascii="Courier New" w:cs="Courier New" w:eastAsia="Courier New" w:hAnsi="Courier New"/>
                <w:color w:val="E2E8F0"/>
                <w:sz w:val="18"/>
                <w:szCs w:val="18"/>
              </w:rPr>
              <w:t xml:space="preserve">R_edge  = t_proc + t_local_comm</w:t>
            </w:r>
          </w:p>
          <w:p>
            <w:r>
              <w:rPr>
                <w:rFonts w:ascii="Courier New" w:cs="Courier New" w:eastAsia="Courier New" w:hAnsi="Courier New"/>
                <w:color w:val="E2E8F0"/>
                <w:sz w:val="18"/>
                <w:szCs w:val="18"/>
              </w:rPr>
              <w:t xml:space="preserve">R_cloud = t_proc + t_local_comm + t_RTT</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Where:</w:t>
            </w:r>
          </w:p>
          <w:p>
            <w:r>
              <w:rPr>
                <w:rFonts w:ascii="Courier New" w:cs="Courier New" w:eastAsia="Courier New" w:hAnsi="Courier New"/>
                <w:color w:val="E2E8F0"/>
                <w:sz w:val="18"/>
                <w:szCs w:val="18"/>
              </w:rPr>
              <w:t xml:space="preserve">  R        = total response time</w:t>
            </w:r>
          </w:p>
          <w:p>
            <w:r>
              <w:rPr>
                <w:rFonts w:ascii="Courier New" w:cs="Courier New" w:eastAsia="Courier New" w:hAnsi="Courier New"/>
                <w:color w:val="E2E8F0"/>
                <w:sz w:val="18"/>
                <w:szCs w:val="18"/>
              </w:rPr>
              <w:t xml:space="preserve">  t_proc   = model computation time (GPU-bound)</w:t>
            </w:r>
          </w:p>
          <w:p>
            <w:r>
              <w:rPr>
                <w:rFonts w:ascii="Courier New" w:cs="Courier New" w:eastAsia="Courier New" w:hAnsi="Courier New"/>
                <w:color w:val="E2E8F0"/>
                <w:sz w:val="18"/>
                <w:szCs w:val="18"/>
              </w:rPr>
              <w:t xml:space="preserve">  t_local  = local communication overhead (RDMA mesh)</w:t>
            </w:r>
          </w:p>
          <w:p>
            <w:r>
              <w:rPr>
                <w:rFonts w:ascii="Courier New" w:cs="Courier New" w:eastAsia="Courier New" w:hAnsi="Courier New"/>
                <w:color w:val="E2E8F0"/>
                <w:sz w:val="18"/>
                <w:szCs w:val="18"/>
              </w:rPr>
              <w:t xml:space="preserve">  t_RTT    = cloud round-trip time (typically 40–150ms for NA/EU regions)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Decision rule:</w:t>
            </w:r>
          </w:p>
          <w:p>
            <w:r>
              <w:rPr>
                <w:rFonts w:ascii="Courier New" w:cs="Courier New" w:eastAsia="Courier New" w:hAnsi="Courier New"/>
                <w:color w:val="E2E8F0"/>
                <w:sz w:val="18"/>
                <w:szCs w:val="18"/>
              </w:rPr>
              <w:t xml:space="preserve">  Deploy to edge if: t_RTT &gt; (cost_of_edge_compute - cost_of_cloud_compute)</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For latency-critical applications (&lt; 100ms TTFT SLO), t_RTT alone</w:t>
            </w:r>
          </w:p>
          <w:p>
            <w:r>
              <w:rPr>
                <w:rFonts w:ascii="Courier New" w:cs="Courier New" w:eastAsia="Courier New" w:hAnsi="Courier New"/>
                <w:color w:val="E2E8F0"/>
                <w:sz w:val="18"/>
                <w:szCs w:val="18"/>
              </w:rPr>
              <w:t xml:space="preserve">exceeds budget — edge deployment is mandatory.</w:t>
            </w:r>
          </w:p>
        </w:tc>
      </w:tr>
    </w:tbl>
    <w:p>
      <w:pPr>
        <w:pBdr>
          <w:bottom w:val="single" w:color="E94560" w:sz="4" w:space="1"/>
        </w:pBdr>
        <w:spacing w:before="160" w:after="160"/>
      </w:pPr>
      <w:r>
        <w:t xml:space="preserve"/>
      </w:r>
    </w:p>
    <w:p>
      <w:pPr>
        <w:pStyle w:val="Heading1"/>
        <w:pBdr>
          <w:bottom w:val="single" w:color="E94560" w:sz="8" w:space="4"/>
        </w:pBdr>
        <w:spacing w:before="360" w:after="120"/>
      </w:pPr>
      <w:r>
        <w:rPr>
          <w:rFonts w:ascii="Arial" w:cs="Arial" w:eastAsia="Arial" w:hAnsi="Arial"/>
          <w:b/>
          <w:bCs/>
          <w:color w:val="16213E"/>
          <w:sz w:val="36"/>
          <w:szCs w:val="36"/>
        </w:rPr>
        <w:t xml:space="preserve">Part VII: Hardpoint BEACON v7.3 — Production Governance Integration</w:t>
      </w:r>
    </w:p>
    <w:p>
      <w:pPr>
        <w:spacing w:before="80" w:after="80" w:line="320"/>
      </w:pPr>
      <w:r>
        <w:rPr>
          <w:rFonts w:ascii="Arial" w:cs="Arial" w:eastAsia="Arial" w:hAnsi="Arial"/>
          <w:color w:val="1A1A2E"/>
          <w:sz w:val="22"/>
          <w:szCs w:val="22"/>
        </w:rPr>
        <w:t xml:space="preserve">The Omega Synthesis MOS fully integrates and extends the Hardpoint BEACON v7.3 production canon. The v7.3 release closed seventeen critical governance gaps that had never been addressed in prior MOS generations. This section codifies the most operationally critical of those gaps.</w:t>
      </w:r>
    </w:p>
    <w:p>
      <w:r>
        <w:t xml:space="preserve"/>
      </w:r>
    </w:p>
    <w:p>
      <w:pPr>
        <w:pStyle w:val="Heading2"/>
        <w:spacing w:before="280" w:after="100"/>
      </w:pPr>
      <w:r>
        <w:rPr>
          <w:rFonts w:ascii="Arial" w:cs="Arial" w:eastAsia="Arial" w:hAnsi="Arial"/>
          <w:b/>
          <w:bCs/>
          <w:color w:val="0F3460"/>
          <w:sz w:val="28"/>
          <w:szCs w:val="28"/>
        </w:rPr>
        <w:t xml:space="preserve">7.1 Database Change Management Doctrine</w:t>
      </w:r>
    </w:p>
    <w:p>
      <w:pPr>
        <w:spacing w:before="80" w:after="80" w:line="320"/>
      </w:pPr>
      <w:r>
        <w:rPr>
          <w:rFonts w:ascii="Arial" w:cs="Arial" w:eastAsia="Arial" w:hAnsi="Arial"/>
          <w:color w:val="1A1A2E"/>
          <w:sz w:val="22"/>
          <w:szCs w:val="22"/>
        </w:rPr>
        <w:t xml:space="preserve">Database schema migrations are the single highest-risk category of change in a distributed service estate. Unlike code deployments — which can be rolled back in seconds with a container image swap — a failed migration may be irreversible or data-destructive. The MOS-DB-MIGRATION-CONTROLLER module governs all schema changes with a mandatory pre-flight gate protocol.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E94560" w:val="clear"/>
          </w:tcPr>
          <w:p>
            <w:r>
              <w:t xml:space="preserve"/>
            </w:r>
          </w:p>
        </w:tc>
        <w:tc>
          <w:tcPr>
            <w:tcW w:type="dxa" w:w="9040"/>
            <w:tcBorders>
              <w:top w:val="none" w:color="FFFFFF" w:sz="0"/>
              <w:left w:val="none" w:color="FFFFFF" w:sz="0"/>
              <w:bottom w:val="none" w:color="FFFFFF" w:sz="0"/>
              <w:right w:val="none" w:color="FFFFFF" w:sz="0"/>
            </w:tcBorders>
            <w:shd w:fill="FEF2F2" w:val="clear"/>
            <w:tcMar>
              <w:top w:type="dxa" w:w="120"/>
              <w:left w:type="dxa" w:w="200"/>
              <w:bottom w:type="dxa" w:w="120"/>
              <w:right w:type="dxa" w:w="120"/>
            </w:tcMar>
          </w:tcPr>
          <w:p>
            <w:r>
              <w:rPr>
                <w:rFonts w:ascii="Arial" w:cs="Arial" w:eastAsia="Arial" w:hAnsi="Arial"/>
                <w:b/>
                <w:bCs/>
                <w:color w:val="E94560"/>
                <w:sz w:val="20"/>
                <w:szCs w:val="20"/>
              </w:rPr>
              <w:t xml:space="preserve">CRITICAL RISK PROFILE</w:t>
            </w:r>
          </w:p>
          <w:p>
            <w:pPr>
              <w:spacing w:before="40"/>
            </w:pPr>
            <w:r>
              <w:rPr>
                <w:rFonts w:ascii="Arial" w:cs="Arial" w:eastAsia="Arial" w:hAnsi="Arial"/>
                <w:color w:val="1A1A2E"/>
                <w:sz w:val="20"/>
                <w:szCs w:val="20"/>
              </w:rPr>
              <w:t xml:space="preserve">Schema migrations have asymmetric blast radius. A bad code deployment affects one service for seconds. A bad migration can affect all services sharing the schema for hours, with potential data corruption that is not immediately visible.</w:t>
            </w:r>
          </w:p>
        </w:tc>
      </w:tr>
    </w:tbl>
    <w:p>
      <w:r>
        <w:t xml:space="preserve"/>
      </w:r>
    </w:p>
    <w:p>
      <w:pPr>
        <w:pStyle w:val="Heading3"/>
        <w:spacing w:before="200" w:after="80"/>
      </w:pPr>
      <w:r>
        <w:rPr>
          <w:rFonts w:ascii="Arial" w:cs="Arial" w:eastAsia="Arial" w:hAnsi="Arial"/>
          <w:b/>
          <w:bCs/>
          <w:color w:val="4A5568"/>
          <w:sz w:val="24"/>
          <w:szCs w:val="24"/>
        </w:rPr>
        <w:t xml:space="preserve">Pre-Migration Gate Protocol</w:t>
      </w:r>
    </w:p>
    <w:p>
      <w:pPr>
        <w:pStyle w:val="ListParagraph"/>
        <w:numPr>
          <w:ilvl w:val="0"/>
          <w:numId w:val="2"/>
        </w:numPr>
        <w:spacing w:before="60" w:after="60"/>
      </w:pPr>
      <w:r>
        <w:rPr>
          <w:rFonts w:ascii="Arial" w:cs="Arial" w:eastAsia="Arial" w:hAnsi="Arial"/>
          <w:color w:val="1A1A2E"/>
          <w:sz w:val="22"/>
          <w:szCs w:val="22"/>
        </w:rPr>
        <w:t xml:space="preserve">Schema Lint — sqlfluff validates SQL syntax and style. BLOCKS on failure.</w:t>
      </w:r>
    </w:p>
    <w:p>
      <w:pPr>
        <w:pStyle w:val="ListParagraph"/>
        <w:numPr>
          <w:ilvl w:val="0"/>
          <w:numId w:val="2"/>
        </w:numPr>
        <w:spacing w:before="60" w:after="60"/>
      </w:pPr>
      <w:r>
        <w:rPr>
          <w:rFonts w:ascii="Arial" w:cs="Arial" w:eastAsia="Arial" w:hAnsi="Arial"/>
          <w:color w:val="1A1A2E"/>
          <w:sz w:val="22"/>
          <w:szCs w:val="22"/>
        </w:rPr>
        <w:t xml:space="preserve">Dry Run — migration executes against staging with production-scale data. REQUIRED.</w:t>
      </w:r>
    </w:p>
    <w:p>
      <w:pPr>
        <w:pStyle w:val="ListParagraph"/>
        <w:numPr>
          <w:ilvl w:val="0"/>
          <w:numId w:val="2"/>
        </w:numPr>
        <w:spacing w:before="60" w:after="60"/>
      </w:pPr>
      <w:r>
        <w:rPr>
          <w:rFonts w:ascii="Arial" w:cs="Arial" w:eastAsia="Arial" w:hAnsi="Arial"/>
          <w:color w:val="1A1A2E"/>
          <w:sz w:val="22"/>
          <w:szCs w:val="22"/>
        </w:rPr>
        <w:t xml:space="preserve">Duration Estimate Check — migrations &gt;5 minutes require a scheduled maintenance window.</w:t>
      </w:r>
    </w:p>
    <w:p>
      <w:pPr>
        <w:pStyle w:val="ListParagraph"/>
        <w:numPr>
          <w:ilvl w:val="0"/>
          <w:numId w:val="2"/>
        </w:numPr>
        <w:spacing w:before="60" w:after="60"/>
      </w:pPr>
      <w:r>
        <w:rPr>
          <w:rFonts w:ascii="Arial" w:cs="Arial" w:eastAsia="Arial" w:hAnsi="Arial"/>
          <w:color w:val="1A1A2E"/>
          <w:sz w:val="22"/>
          <w:szCs w:val="22"/>
        </w:rPr>
        <w:t xml:space="preserve">Table Lock Analysis — full table locks are PROHIBITED. Online migration strategies required for tables &gt;1M rows.</w:t>
      </w:r>
    </w:p>
    <w:p>
      <w:pPr>
        <w:pStyle w:val="ListParagraph"/>
        <w:numPr>
          <w:ilvl w:val="0"/>
          <w:numId w:val="2"/>
        </w:numPr>
        <w:spacing w:before="60" w:after="60"/>
      </w:pPr>
      <w:r>
        <w:rPr>
          <w:rFonts w:ascii="Arial" w:cs="Arial" w:eastAsia="Arial" w:hAnsi="Arial"/>
          <w:color w:val="1A1A2E"/>
          <w:sz w:val="22"/>
          <w:szCs w:val="22"/>
        </w:rPr>
        <w:t xml:space="preserve">Backward Compatibility Test — N-1 application version must pass its test suite against the post-migration schema. 14-day compatibility window enforced.</w:t>
      </w:r>
    </w:p>
    <w:p>
      <w:pPr>
        <w:pStyle w:val="ListParagraph"/>
        <w:numPr>
          <w:ilvl w:val="0"/>
          <w:numId w:val="2"/>
        </w:numPr>
        <w:spacing w:before="60" w:after="60"/>
      </w:pPr>
      <w:r>
        <w:rPr>
          <w:rFonts w:ascii="Arial" w:cs="Arial" w:eastAsia="Arial" w:hAnsi="Arial"/>
          <w:color w:val="1A1A2E"/>
          <w:sz w:val="22"/>
          <w:szCs w:val="22"/>
        </w:rPr>
        <w:t xml:space="preserve">Human Approval — required for HIGH and CRITICAL risk migrations. Approvers: DBA lead + service owner.</w:t>
      </w:r>
    </w:p>
    <w:p>
      <w:r>
        <w:t xml:space="preserve"/>
      </w:r>
    </w:p>
    <w:p>
      <w:pPr>
        <w:pStyle w:val="Heading2"/>
        <w:spacing w:before="280" w:after="100"/>
      </w:pPr>
      <w:r>
        <w:rPr>
          <w:rFonts w:ascii="Arial" w:cs="Arial" w:eastAsia="Arial" w:hAnsi="Arial"/>
          <w:b/>
          <w:bCs/>
          <w:color w:val="0F3460"/>
          <w:sz w:val="28"/>
          <w:szCs w:val="28"/>
        </w:rPr>
        <w:t xml:space="preserve">7.2 Network Visibility Governance — PATCH A Integration</w:t>
      </w:r>
    </w:p>
    <w:p>
      <w:pPr>
        <w:spacing w:before="80" w:after="80" w:line="320"/>
      </w:pPr>
      <w:r>
        <w:rPr>
          <w:rFonts w:ascii="Arial" w:cs="Arial" w:eastAsia="Arial" w:hAnsi="Arial"/>
          <w:color w:val="1A1A2E"/>
          <w:sz w:val="22"/>
          <w:szCs w:val="22"/>
        </w:rPr>
        <w:t xml:space="preserve">Hardpoint BEACON v7.3 PATCH A introduced the hostwatch integration profile, extending the MOS with passive Layer 2 network visibility via the OPNsense 26.1 hostwatch daemon. Every device on the network fabric must be accounted for. Unregistered assets are simultaneously an operational blind spot and a security exposure.</w:t>
      </w:r>
    </w:p>
    <w:p>
      <w:pPr>
        <w:pStyle w:val="ListParagraph"/>
        <w:numPr>
          <w:ilvl w:val="0"/>
          <w:numId w:val="3"/>
        </w:numPr>
        <w:spacing w:before="60" w:after="60"/>
      </w:pPr>
      <w:r>
        <w:rPr>
          <w:rFonts w:ascii="Arial" w:cs="Arial" w:eastAsia="Arial" w:hAnsi="Arial"/>
          <w:color w:val="1A1A2E"/>
          <w:sz w:val="22"/>
          <w:szCs w:val="22"/>
        </w:rPr>
        <w:t xml:space="preserve">Primary integration: OPNsense hostwatch → structured syslog → MOS-TELEMETRY ingestion pipeline.</w:t>
      </w:r>
    </w:p>
    <w:p>
      <w:pPr>
        <w:pStyle w:val="ListParagraph"/>
        <w:numPr>
          <w:ilvl w:val="0"/>
          <w:numId w:val="3"/>
        </w:numPr>
        <w:spacing w:before="60" w:after="60"/>
      </w:pPr>
      <w:r>
        <w:rPr>
          <w:rFonts w:ascii="Arial" w:cs="Arial" w:eastAsia="Arial" w:hAnsi="Arial"/>
          <w:color w:val="1A1A2E"/>
          <w:sz w:val="22"/>
          <w:szCs w:val="22"/>
        </w:rPr>
        <w:t xml:space="preserve">Secondary integration: hostwatch SQLite DB → periodic poll → NetworkAssetInventory records in MOS-REGISTRY.</w:t>
      </w:r>
    </w:p>
    <w:p>
      <w:pPr>
        <w:pStyle w:val="ListParagraph"/>
        <w:numPr>
          <w:ilvl w:val="0"/>
          <w:numId w:val="3"/>
        </w:numPr>
        <w:spacing w:before="60" w:after="60"/>
      </w:pPr>
      <w:r>
        <w:rPr>
          <w:rFonts w:ascii="Arial" w:cs="Arial" w:eastAsia="Arial" w:hAnsi="Arial"/>
          <w:color w:val="1A1A2E"/>
          <w:sz w:val="22"/>
          <w:szCs w:val="22"/>
        </w:rPr>
        <w:t xml:space="preserve">Anomaly trigger: new MAC address appears on a governed VLAN → MOS-SECURITY-PLATFORM alert → investigation workflow within 15 minutes.</w:t>
      </w:r>
    </w:p>
    <w:p>
      <w:pPr>
        <w:pStyle w:val="ListParagraph"/>
        <w:numPr>
          <w:ilvl w:val="0"/>
          <w:numId w:val="3"/>
        </w:numPr>
        <w:spacing w:before="60" w:after="60"/>
      </w:pPr>
      <w:r>
        <w:rPr>
          <w:rFonts w:ascii="Arial" w:cs="Arial" w:eastAsia="Arial" w:hAnsi="Arial"/>
          <w:color w:val="1A1A2E"/>
          <w:sz w:val="22"/>
          <w:szCs w:val="22"/>
        </w:rPr>
        <w:t xml:space="preserve">Asset reconciliation: any host observed by hostwatch that is absent from MOS-REGISTRY generates a REGISTRY_DRIFT alert. Drift must be resolved within 24 hours.</w:t>
      </w:r>
    </w:p>
    <w:p>
      <w:r>
        <w:t xml:space="preserve"/>
      </w:r>
    </w:p>
    <w:p>
      <w:pPr>
        <w:pStyle w:val="Heading2"/>
        <w:spacing w:before="280" w:after="100"/>
      </w:pPr>
      <w:r>
        <w:rPr>
          <w:rFonts w:ascii="Arial" w:cs="Arial" w:eastAsia="Arial" w:hAnsi="Arial"/>
          <w:b/>
          <w:bCs/>
          <w:color w:val="0F3460"/>
          <w:sz w:val="28"/>
          <w:szCs w:val="28"/>
        </w:rPr>
        <w:t xml:space="preserve">7.3 On-Call Health and Toil Governance</w:t>
      </w:r>
    </w:p>
    <w:p>
      <w:pPr>
        <w:spacing w:before="80" w:after="80" w:line="320"/>
      </w:pPr>
      <w:r>
        <w:rPr>
          <w:rFonts w:ascii="Arial" w:cs="Arial" w:eastAsia="Arial" w:hAnsi="Arial"/>
          <w:color w:val="1A1A2E"/>
          <w:sz w:val="22"/>
          <w:szCs w:val="22"/>
        </w:rPr>
        <w:t xml:space="preserve">Toil — manual, repetitive, automatable work that provides no durable value — is treated by this MOS as technical waste with a measurable cost. On-call engineers who exceed 50% of their working hours on toil are in a structural failure mode that degrades retention, judgment quality, and system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680"/>
        <w:gridCol w:w="1680"/>
        <w:gridCol w:w="3120"/>
      </w:tblGrid>
      <w:tr>
        <w:tc>
          <w:tcPr>
            <w:tcW w:type="dxa" w:w="2880"/>
            <w:tcBorders>
              <w:top w:val="single" w:color="0F3460" w:sz="1"/>
              <w:left w:val="single" w:color="0F3460" w:sz="1"/>
              <w:bottom w:val="single" w:color="0F3460" w:sz="1"/>
              <w:right w:val="single" w:color="0F3460"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80"/>
            <w:tcBorders>
              <w:top w:val="single" w:color="0F3460" w:sz="1"/>
              <w:left w:val="single" w:color="0F3460" w:sz="1"/>
              <w:bottom w:val="single" w:color="0F3460" w:sz="1"/>
              <w:right w:val="single" w:color="0F3460"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Warning Threshold</w:t>
            </w:r>
          </w:p>
        </w:tc>
        <w:tc>
          <w:tcPr>
            <w:tcW w:type="dxa" w:w="1680"/>
            <w:tcBorders>
              <w:top w:val="single" w:color="0F3460" w:sz="1"/>
              <w:left w:val="single" w:color="0F3460" w:sz="1"/>
              <w:bottom w:val="single" w:color="0F3460" w:sz="1"/>
              <w:right w:val="single" w:color="0F3460"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Critical Threshold</w:t>
            </w:r>
          </w:p>
        </w:tc>
        <w:tc>
          <w:tcPr>
            <w:tcW w:type="dxa" w:w="3120"/>
            <w:tcBorders>
              <w:top w:val="single" w:color="0F3460" w:sz="1"/>
              <w:left w:val="single" w:color="0F3460" w:sz="1"/>
              <w:bottom w:val="single" w:color="0F3460" w:sz="1"/>
              <w:right w:val="single" w:color="0F3460"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288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Toil percentage of on-call hours</w:t>
            </w:r>
          </w:p>
        </w:tc>
        <w:tc>
          <w:tcPr>
            <w:tcW w:type="dxa" w:w="168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&gt; 30%</w:t>
            </w:r>
          </w:p>
        </w:tc>
        <w:tc>
          <w:tcPr>
            <w:tcW w:type="dxa" w:w="168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&gt; 50%</w:t>
            </w:r>
          </w:p>
        </w:tc>
        <w:tc>
          <w:tcPr>
            <w:tcW w:type="dxa" w:w="312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Mandatory automation sprint within 2 sprints</w:t>
            </w:r>
          </w:p>
        </w:tc>
      </w:tr>
      <w:tr>
        <w:tc>
          <w:tcPr>
            <w:tcW w:type="dxa" w:w="288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Mean Time to Acknowledge (MTTA)</w:t>
            </w:r>
          </w:p>
        </w:tc>
        <w:tc>
          <w:tcPr>
            <w:tcW w:type="dxa" w:w="168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&gt; 10 min</w:t>
            </w:r>
          </w:p>
        </w:tc>
        <w:tc>
          <w:tcPr>
            <w:tcW w:type="dxa" w:w="168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&gt; 20 min</w:t>
            </w:r>
          </w:p>
        </w:tc>
        <w:tc>
          <w:tcPr>
            <w:tcW w:type="dxa" w:w="312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Alert routing and escalation policy review</w:t>
            </w:r>
          </w:p>
        </w:tc>
      </w:tr>
      <w:tr>
        <w:tc>
          <w:tcPr>
            <w:tcW w:type="dxa" w:w="288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Pages per on-call shift</w:t>
            </w:r>
          </w:p>
        </w:tc>
        <w:tc>
          <w:tcPr>
            <w:tcW w:type="dxa" w:w="168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&gt; 10</w:t>
            </w:r>
          </w:p>
        </w:tc>
        <w:tc>
          <w:tcPr>
            <w:tcW w:type="dxa" w:w="168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&gt; 20</w:t>
            </w:r>
          </w:p>
        </w:tc>
        <w:tc>
          <w:tcPr>
            <w:tcW w:type="dxa" w:w="312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Alert fatigue audit + suppression review</w:t>
            </w:r>
          </w:p>
        </w:tc>
      </w:tr>
      <w:tr>
        <w:tc>
          <w:tcPr>
            <w:tcW w:type="dxa" w:w="288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Alert actionability rate</w:t>
            </w:r>
          </w:p>
        </w:tc>
        <w:tc>
          <w:tcPr>
            <w:tcW w:type="dxa" w:w="168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&lt; 80%</w:t>
            </w:r>
          </w:p>
        </w:tc>
        <w:tc>
          <w:tcPr>
            <w:tcW w:type="dxa" w:w="168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&lt; 60%</w:t>
            </w:r>
          </w:p>
        </w:tc>
        <w:tc>
          <w:tcPr>
            <w:tcW w:type="dxa" w:w="312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Full alert audit — non-actionable alerts disabled</w:t>
            </w:r>
          </w:p>
        </w:tc>
      </w:tr>
    </w:tbl>
    <w:p>
      <w:pPr>
        <w:pBdr>
          <w:bottom w:val="single" w:color="E94560" w:sz="4" w:space="1"/>
        </w:pBdr>
        <w:spacing w:before="160" w:after="160"/>
      </w:pPr>
      <w:r>
        <w:t xml:space="preserve"/>
      </w:r>
    </w:p>
    <w:p>
      <w:pPr>
        <w:pStyle w:val="Heading1"/>
        <w:pBdr>
          <w:bottom w:val="single" w:color="E94560" w:sz="8" w:space="4"/>
        </w:pBdr>
        <w:spacing w:before="360" w:after="120"/>
      </w:pPr>
      <w:r>
        <w:rPr>
          <w:rFonts w:ascii="Arial" w:cs="Arial" w:eastAsia="Arial" w:hAnsi="Arial"/>
          <w:b/>
          <w:bCs/>
          <w:color w:val="16213E"/>
          <w:sz w:val="36"/>
          <w:szCs w:val="36"/>
        </w:rPr>
        <w:t xml:space="preserve">Part VIII: Agentic Commerce &amp; Global Control Plane</w:t>
      </w:r>
    </w:p>
    <w:p>
      <w:pPr>
        <w:spacing w:before="80" w:after="80" w:line="320"/>
      </w:pPr>
      <w:r>
        <w:rPr>
          <w:rFonts w:ascii="Arial" w:cs="Arial" w:eastAsia="Arial" w:hAnsi="Arial"/>
          <w:color w:val="1A1A2E"/>
          <w:sz w:val="22"/>
          <w:szCs w:val="22"/>
        </w:rPr>
        <w:t xml:space="preserve">The MOS transitions the enterprise to a state where autonomous agents are not merely workflow executors but economic actors capable of transacting, provisioning, and decommissioning resources within cryptographically enforced mandates. This is not a future roadmap item — it is a 2026 production reality for enterprises operating at scale.</w:t>
      </w:r>
    </w:p>
    <w:p>
      <w:r>
        <w:t xml:space="preserve"/>
      </w:r>
    </w:p>
    <w:p>
      <w:pPr>
        <w:pStyle w:val="Heading2"/>
        <w:spacing w:before="280" w:after="100"/>
      </w:pPr>
      <w:r>
        <w:rPr>
          <w:rFonts w:ascii="Arial" w:cs="Arial" w:eastAsia="Arial" w:hAnsi="Arial"/>
          <w:b/>
          <w:bCs/>
          <w:color w:val="0F3460"/>
          <w:sz w:val="28"/>
          <w:szCs w:val="28"/>
        </w:rPr>
        <w:t xml:space="preserve">8.1 Google AP2 Protocol — Agent-to-Agent Commerce</w:t>
      </w:r>
    </w:p>
    <w:p>
      <w:pPr>
        <w:spacing w:before="80" w:after="80" w:line="320"/>
      </w:pPr>
      <w:r>
        <w:rPr>
          <w:rFonts w:ascii="Arial" w:cs="Arial" w:eastAsia="Arial" w:hAnsi="Arial"/>
          <w:color w:val="1A1A2E"/>
          <w:sz w:val="22"/>
          <w:szCs w:val="22"/>
        </w:rPr>
        <w:t xml:space="preserve">Agents communicate payment intent and resource acquisition via the AP2 structured protocol. Each transaction is cryptographically signed with the requesting agent's mandate, enabling auditable, revocable authorization for autonomous spending. No agent may exceed its pre-authorized budget without triggering an escalation to the human principal.</w:t>
      </w:r>
    </w:p>
    <w:p>
      <w:r>
        <w:t xml:space="preserve"/>
      </w:r>
    </w:p>
    <w:p>
      <w:pPr>
        <w:pStyle w:val="Heading2"/>
        <w:spacing w:before="280" w:after="100"/>
      </w:pPr>
      <w:r>
        <w:rPr>
          <w:rFonts w:ascii="Arial" w:cs="Arial" w:eastAsia="Arial" w:hAnsi="Arial"/>
          <w:b/>
          <w:bCs/>
          <w:color w:val="0F3460"/>
          <w:sz w:val="28"/>
          <w:szCs w:val="28"/>
        </w:rPr>
        <w:t xml:space="preserve">8.2 Nevermined Identity — Agent Wallets and DID</w:t>
      </w:r>
    </w:p>
    <w:p>
      <w:pPr>
        <w:spacing w:before="80" w:after="80" w:line="320"/>
      </w:pPr>
      <w:r>
        <w:rPr>
          <w:rFonts w:ascii="Arial" w:cs="Arial" w:eastAsia="Arial" w:hAnsi="Arial"/>
          <w:color w:val="1A1A2E"/>
          <w:sz w:val="22"/>
          <w:szCs w:val="22"/>
        </w:rPr>
        <w:t xml:space="preserve">Every agent in the workforce is issued a unique wallet and Decentralized Identifier (DID) at instantiation. The DID serves as the Root of Trust for all autonomous spending, task execution, and audit trails. Agent DIDs are registered in the MOS-REGISTRY and linked to their authority level and permission scope.</w:t>
      </w:r>
    </w:p>
    <w:p>
      <w:r>
        <w:t xml:space="preserve"/>
      </w:r>
    </w:p>
    <w:p>
      <w:pPr>
        <w:pStyle w:val="Heading2"/>
        <w:spacing w:before="280" w:after="100"/>
      </w:pPr>
      <w:r>
        <w:rPr>
          <w:rFonts w:ascii="Arial" w:cs="Arial" w:eastAsia="Arial" w:hAnsi="Arial"/>
          <w:b/>
          <w:bCs/>
          <w:color w:val="0F3460"/>
          <w:sz w:val="28"/>
          <w:szCs w:val="28"/>
        </w:rPr>
        <w:t xml:space="preserve">8.3 Polaris Global Control Plane</w:t>
      </w:r>
    </w:p>
    <w:p>
      <w:pPr>
        <w:spacing w:before="80" w:after="80" w:line="320"/>
      </w:pPr>
      <w:r>
        <w:rPr>
          <w:rFonts w:ascii="Arial" w:cs="Arial" w:eastAsia="Arial" w:hAnsi="Arial"/>
          <w:color w:val="1A1A2E"/>
          <w:sz w:val="22"/>
          <w:szCs w:val="22"/>
        </w:rPr>
        <w:t xml:space="preserve">The Polaris control plane orchestrates distributed DevStacks across hybrid cloud environments, multi-cloud deployments, and Data Fortresses — nationally sovereign compute zones that enforce data residency and regulatory compliance. All cross-zone traffic is governed by the data residency policy attached to the originating workload.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DD8" w:sz="1"/>
              <w:left w:val="single" w:color="C8CDD8" w:sz="1"/>
              <w:bottom w:val="single" w:color="C8CDD8" w:sz="1"/>
              <w:right w:val="single" w:color="C8CDD8" w:sz="1"/>
            </w:tcBorders>
            <w:shd w:fill="1E1E2E" w:val="clear"/>
            <w:tcMar>
              <w:top w:type="dxa" w:w="120"/>
              <w:left w:type="dxa" w:w="200"/>
              <w:bottom w:type="dxa" w:w="120"/>
              <w:right w:type="dxa" w:w="200"/>
            </w:tcMar>
          </w:tcPr>
          <w:p>
            <w:r>
              <w:rPr>
                <w:rFonts w:ascii="Courier New" w:cs="Courier New" w:eastAsia="Courier New" w:hAnsi="Courier New"/>
                <w:color w:val="E2E8F0"/>
                <w:sz w:val="18"/>
                <w:szCs w:val="18"/>
              </w:rPr>
              <w:t xml:space="preserve"># OpenAPI 3.1 Fragment: Agent-to-Agent Commerce Contract</w:t>
            </w:r>
          </w:p>
          <w:p>
            <w:r>
              <w:rPr>
                <w:rFonts w:ascii="Courier New" w:cs="Courier New" w:eastAsia="Courier New" w:hAnsi="Courier New"/>
                <w:color w:val="E2E8F0"/>
                <w:sz w:val="18"/>
                <w:szCs w:val="18"/>
              </w:rPr>
              <w:t xml:space="preserve">openapi: "3.1.0"</w:t>
            </w:r>
          </w:p>
          <w:p>
            <w:r>
              <w:rPr>
                <w:rFonts w:ascii="Courier New" w:cs="Courier New" w:eastAsia="Courier New" w:hAnsi="Courier New"/>
                <w:color w:val="E2E8F0"/>
                <w:sz w:val="18"/>
                <w:szCs w:val="18"/>
              </w:rPr>
              <w:t xml:space="preserve">info:</w:t>
            </w:r>
          </w:p>
          <w:p>
            <w:r>
              <w:rPr>
                <w:rFonts w:ascii="Courier New" w:cs="Courier New" w:eastAsia="Courier New" w:hAnsi="Courier New"/>
                <w:color w:val="E2E8F0"/>
                <w:sz w:val="18"/>
                <w:szCs w:val="18"/>
              </w:rPr>
              <w:t xml:space="preserve">  title: MOS Agentic Commerce API</w:t>
            </w:r>
          </w:p>
          <w:p>
            <w:r>
              <w:rPr>
                <w:rFonts w:ascii="Courier New" w:cs="Courier New" w:eastAsia="Courier New" w:hAnsi="Courier New"/>
                <w:color w:val="E2E8F0"/>
                <w:sz w:val="18"/>
                <w:szCs w:val="18"/>
              </w:rPr>
              <w:t xml:space="preserve">  version: "1.0.0"</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paths:</w:t>
            </w:r>
          </w:p>
          <w:p>
            <w:r>
              <w:rPr>
                <w:rFonts w:ascii="Courier New" w:cs="Courier New" w:eastAsia="Courier New" w:hAnsi="Courier New"/>
                <w:color w:val="E2E8F0"/>
                <w:sz w:val="18"/>
                <w:szCs w:val="18"/>
              </w:rPr>
              <w:t xml:space="preserve">  /agents/{agentId}/transactions:</w:t>
            </w:r>
          </w:p>
          <w:p>
            <w:r>
              <w:rPr>
                <w:rFonts w:ascii="Courier New" w:cs="Courier New" w:eastAsia="Courier New" w:hAnsi="Courier New"/>
                <w:color w:val="E2E8F0"/>
                <w:sz w:val="18"/>
                <w:szCs w:val="18"/>
              </w:rPr>
              <w:t xml:space="preserve">    post:</w:t>
            </w:r>
          </w:p>
          <w:p>
            <w:r>
              <w:rPr>
                <w:rFonts w:ascii="Courier New" w:cs="Courier New" w:eastAsia="Courier New" w:hAnsi="Courier New"/>
                <w:color w:val="E2E8F0"/>
                <w:sz w:val="18"/>
                <w:szCs w:val="18"/>
              </w:rPr>
              <w:t xml:space="preserve">      summary: Submit a cryptographically signed transaction mandate</w:t>
            </w:r>
          </w:p>
          <w:p>
            <w:r>
              <w:rPr>
                <w:rFonts w:ascii="Courier New" w:cs="Courier New" w:eastAsia="Courier New" w:hAnsi="Courier New"/>
                <w:color w:val="E2E8F0"/>
                <w:sz w:val="18"/>
                <w:szCs w:val="18"/>
              </w:rPr>
              <w:t xml:space="preserve">      parameters:</w:t>
            </w:r>
          </w:p>
          <w:p>
            <w:r>
              <w:rPr>
                <w:rFonts w:ascii="Courier New" w:cs="Courier New" w:eastAsia="Courier New" w:hAnsi="Courier New"/>
                <w:color w:val="E2E8F0"/>
                <w:sz w:val="18"/>
                <w:szCs w:val="18"/>
              </w:rPr>
              <w:t xml:space="preserve">        - name: agentId</w:t>
            </w:r>
          </w:p>
          <w:p>
            <w:r>
              <w:rPr>
                <w:rFonts w:ascii="Courier New" w:cs="Courier New" w:eastAsia="Courier New" w:hAnsi="Courier New"/>
                <w:color w:val="E2E8F0"/>
                <w:sz w:val="18"/>
                <w:szCs w:val="18"/>
              </w:rPr>
              <w:t xml:space="preserve">          in: path</w:t>
            </w:r>
          </w:p>
          <w:p>
            <w:r>
              <w:rPr>
                <w:rFonts w:ascii="Courier New" w:cs="Courier New" w:eastAsia="Courier New" w:hAnsi="Courier New"/>
                <w:color w:val="E2E8F0"/>
                <w:sz w:val="18"/>
                <w:szCs w:val="18"/>
              </w:rPr>
              <w:t xml:space="preserve">          required: true</w:t>
            </w:r>
          </w:p>
          <w:p>
            <w:r>
              <w:rPr>
                <w:rFonts w:ascii="Courier New" w:cs="Courier New" w:eastAsia="Courier New" w:hAnsi="Courier New"/>
                <w:color w:val="E2E8F0"/>
                <w:sz w:val="18"/>
                <w:szCs w:val="18"/>
              </w:rPr>
              <w:t xml:space="preserve">          schema:</w:t>
            </w:r>
          </w:p>
          <w:p>
            <w:r>
              <w:rPr>
                <w:rFonts w:ascii="Courier New" w:cs="Courier New" w:eastAsia="Courier New" w:hAnsi="Courier New"/>
                <w:color w:val="E2E8F0"/>
                <w:sz w:val="18"/>
                <w:szCs w:val="18"/>
              </w:rPr>
              <w:t xml:space="preserve">            type: string</w:t>
            </w:r>
          </w:p>
          <w:p>
            <w:r>
              <w:rPr>
                <w:rFonts w:ascii="Courier New" w:cs="Courier New" w:eastAsia="Courier New" w:hAnsi="Courier New"/>
                <w:color w:val="E2E8F0"/>
                <w:sz w:val="18"/>
                <w:szCs w:val="18"/>
              </w:rPr>
              <w:t xml:space="preserve">            pattern: "^did:example:[a-z0-9]+"</w:t>
            </w:r>
          </w:p>
          <w:p>
            <w:r>
              <w:rPr>
                <w:rFonts w:ascii="Courier New" w:cs="Courier New" w:eastAsia="Courier New" w:hAnsi="Courier New"/>
                <w:color w:val="E2E8F0"/>
                <w:sz w:val="18"/>
                <w:szCs w:val="18"/>
              </w:rPr>
              <w:t xml:space="preserve">      requestBody:</w:t>
            </w:r>
          </w:p>
          <w:p>
            <w:r>
              <w:rPr>
                <w:rFonts w:ascii="Courier New" w:cs="Courier New" w:eastAsia="Courier New" w:hAnsi="Courier New"/>
                <w:color w:val="E2E8F0"/>
                <w:sz w:val="18"/>
                <w:szCs w:val="18"/>
              </w:rPr>
              <w:t xml:space="preserve">        required: true</w:t>
            </w:r>
          </w:p>
          <w:p>
            <w:r>
              <w:rPr>
                <w:rFonts w:ascii="Courier New" w:cs="Courier New" w:eastAsia="Courier New" w:hAnsi="Courier New"/>
                <w:color w:val="E2E8F0"/>
                <w:sz w:val="18"/>
                <w:szCs w:val="18"/>
              </w:rPr>
              <w:t xml:space="preserve">        content:</w:t>
            </w:r>
          </w:p>
          <w:p>
            <w:r>
              <w:rPr>
                <w:rFonts w:ascii="Courier New" w:cs="Courier New" w:eastAsia="Courier New" w:hAnsi="Courier New"/>
                <w:color w:val="E2E8F0"/>
                <w:sz w:val="18"/>
                <w:szCs w:val="18"/>
              </w:rPr>
              <w:t xml:space="preserve">          application/json:</w:t>
            </w:r>
          </w:p>
          <w:p>
            <w:r>
              <w:rPr>
                <w:rFonts w:ascii="Courier New" w:cs="Courier New" w:eastAsia="Courier New" w:hAnsi="Courier New"/>
                <w:color w:val="E2E8F0"/>
                <w:sz w:val="18"/>
                <w:szCs w:val="18"/>
              </w:rPr>
              <w:t xml:space="preserve">            schema:</w:t>
            </w:r>
          </w:p>
          <w:p>
            <w:r>
              <w:rPr>
                <w:rFonts w:ascii="Courier New" w:cs="Courier New" w:eastAsia="Courier New" w:hAnsi="Courier New"/>
                <w:color w:val="E2E8F0"/>
                <w:sz w:val="18"/>
                <w:szCs w:val="18"/>
              </w:rPr>
              <w:t xml:space="preserve">              type: object</w:t>
            </w:r>
          </w:p>
          <w:p>
            <w:r>
              <w:rPr>
                <w:rFonts w:ascii="Courier New" w:cs="Courier New" w:eastAsia="Courier New" w:hAnsi="Courier New"/>
                <w:color w:val="E2E8F0"/>
                <w:sz w:val="18"/>
                <w:szCs w:val="18"/>
              </w:rPr>
              <w:t xml:space="preserve">              required: [mandate, signature, budget_ceiling, resource_type]</w:t>
            </w:r>
          </w:p>
          <w:p>
            <w:r>
              <w:rPr>
                <w:rFonts w:ascii="Courier New" w:cs="Courier New" w:eastAsia="Courier New" w:hAnsi="Courier New"/>
                <w:color w:val="E2E8F0"/>
                <w:sz w:val="18"/>
                <w:szCs w:val="18"/>
              </w:rPr>
              <w:t xml:space="preserve">              properties:</w:t>
            </w:r>
          </w:p>
          <w:p>
            <w:r>
              <w:rPr>
                <w:rFonts w:ascii="Courier New" w:cs="Courier New" w:eastAsia="Courier New" w:hAnsi="Courier New"/>
                <w:color w:val="E2E8F0"/>
                <w:sz w:val="18"/>
                <w:szCs w:val="18"/>
              </w:rPr>
              <w:t xml:space="preserve">                mandate:</w:t>
            </w:r>
          </w:p>
          <w:p>
            <w:r>
              <w:rPr>
                <w:rFonts w:ascii="Courier New" w:cs="Courier New" w:eastAsia="Courier New" w:hAnsi="Courier New"/>
                <w:color w:val="E2E8F0"/>
                <w:sz w:val="18"/>
                <w:szCs w:val="18"/>
              </w:rPr>
              <w:t xml:space="preserve">                  type: string</w:t>
            </w:r>
          </w:p>
          <w:p>
            <w:r>
              <w:rPr>
                <w:rFonts w:ascii="Courier New" w:cs="Courier New" w:eastAsia="Courier New" w:hAnsi="Courier New"/>
                <w:color w:val="E2E8F0"/>
                <w:sz w:val="18"/>
                <w:szCs w:val="18"/>
              </w:rPr>
              <w:t xml:space="preserve">                  description: Human-readable intent statement</w:t>
            </w:r>
          </w:p>
          <w:p>
            <w:r>
              <w:rPr>
                <w:rFonts w:ascii="Courier New" w:cs="Courier New" w:eastAsia="Courier New" w:hAnsi="Courier New"/>
                <w:color w:val="E2E8F0"/>
                <w:sz w:val="18"/>
                <w:szCs w:val="18"/>
              </w:rPr>
              <w:t xml:space="preserve">                signature:</w:t>
            </w:r>
          </w:p>
          <w:p>
            <w:r>
              <w:rPr>
                <w:rFonts w:ascii="Courier New" w:cs="Courier New" w:eastAsia="Courier New" w:hAnsi="Courier New"/>
                <w:color w:val="E2E8F0"/>
                <w:sz w:val="18"/>
                <w:szCs w:val="18"/>
              </w:rPr>
              <w:t xml:space="preserve">                  type: string</w:t>
            </w:r>
          </w:p>
          <w:p>
            <w:r>
              <w:rPr>
                <w:rFonts w:ascii="Courier New" w:cs="Courier New" w:eastAsia="Courier New" w:hAnsi="Courier New"/>
                <w:color w:val="E2E8F0"/>
                <w:sz w:val="18"/>
                <w:szCs w:val="18"/>
              </w:rPr>
              <w:t xml:space="preserve">                  description: Ed25519 signature over mandate hash</w:t>
            </w:r>
          </w:p>
          <w:p>
            <w:r>
              <w:rPr>
                <w:rFonts w:ascii="Courier New" w:cs="Courier New" w:eastAsia="Courier New" w:hAnsi="Courier New"/>
                <w:color w:val="E2E8F0"/>
                <w:sz w:val="18"/>
                <w:szCs w:val="18"/>
              </w:rPr>
              <w:t xml:space="preserve">                budget_ceiling:</w:t>
            </w:r>
          </w:p>
          <w:p>
            <w:r>
              <w:rPr>
                <w:rFonts w:ascii="Courier New" w:cs="Courier New" w:eastAsia="Courier New" w:hAnsi="Courier New"/>
                <w:color w:val="E2E8F0"/>
                <w:sz w:val="18"/>
                <w:szCs w:val="18"/>
              </w:rPr>
              <w:t xml:space="preserve">                  type: number</w:t>
            </w:r>
          </w:p>
          <w:p>
            <w:r>
              <w:rPr>
                <w:rFonts w:ascii="Courier New" w:cs="Courier New" w:eastAsia="Courier New" w:hAnsi="Courier New"/>
                <w:color w:val="E2E8F0"/>
                <w:sz w:val="18"/>
                <w:szCs w:val="18"/>
              </w:rPr>
              <w:t xml:space="preserve">                  format: float</w:t>
            </w:r>
          </w:p>
          <w:p>
            <w:r>
              <w:rPr>
                <w:rFonts w:ascii="Courier New" w:cs="Courier New" w:eastAsia="Courier New" w:hAnsi="Courier New"/>
                <w:color w:val="E2E8F0"/>
                <w:sz w:val="18"/>
                <w:szCs w:val="18"/>
              </w:rPr>
              <w:t xml:space="preserve">                  description: Maximum authorized spend in USD</w:t>
            </w:r>
          </w:p>
          <w:p>
            <w:r>
              <w:rPr>
                <w:rFonts w:ascii="Courier New" w:cs="Courier New" w:eastAsia="Courier New" w:hAnsi="Courier New"/>
                <w:color w:val="E2E8F0"/>
                <w:sz w:val="18"/>
                <w:szCs w:val="18"/>
              </w:rPr>
              <w:t xml:space="preserve">                resource_type:</w:t>
            </w:r>
          </w:p>
          <w:p>
            <w:r>
              <w:rPr>
                <w:rFonts w:ascii="Courier New" w:cs="Courier New" w:eastAsia="Courier New" w:hAnsi="Courier New"/>
                <w:color w:val="E2E8F0"/>
                <w:sz w:val="18"/>
                <w:szCs w:val="18"/>
              </w:rPr>
              <w:t xml:space="preserve">                  type: string</w:t>
            </w:r>
          </w:p>
          <w:p>
            <w:r>
              <w:rPr>
                <w:rFonts w:ascii="Courier New" w:cs="Courier New" w:eastAsia="Courier New" w:hAnsi="Courier New"/>
                <w:color w:val="E2E8F0"/>
                <w:sz w:val="18"/>
                <w:szCs w:val="18"/>
              </w:rPr>
              <w:t xml:space="preserve">                  enum: [compute, storage, inference, network, data]</w:t>
            </w:r>
          </w:p>
        </w:tc>
      </w:tr>
    </w:tbl>
    <w:p>
      <w:pPr>
        <w:pBdr>
          <w:bottom w:val="single" w:color="E94560" w:sz="4" w:space="1"/>
        </w:pBdr>
        <w:spacing w:before="160" w:after="160"/>
      </w:pPr>
      <w:r>
        <w:t xml:space="preserve"/>
      </w:r>
    </w:p>
    <w:p>
      <w:pPr>
        <w:pStyle w:val="Heading1"/>
        <w:pBdr>
          <w:bottom w:val="single" w:color="E94560" w:sz="8" w:space="4"/>
        </w:pBdr>
        <w:spacing w:before="360" w:after="120"/>
      </w:pPr>
      <w:r>
        <w:rPr>
          <w:rFonts w:ascii="Arial" w:cs="Arial" w:eastAsia="Arial" w:hAnsi="Arial"/>
          <w:b/>
          <w:bCs/>
          <w:color w:val="16213E"/>
          <w:sz w:val="36"/>
          <w:szCs w:val="36"/>
        </w:rPr>
        <w:t xml:space="preserve">Part IX: Governance, IP Protection, and the PEIG Framework</w:t>
      </w:r>
    </w:p>
    <w:p>
      <w:pPr>
        <w:spacing w:before="80" w:after="80" w:line="320"/>
      </w:pPr>
      <w:r>
        <w:rPr>
          <w:rFonts w:ascii="Arial" w:cs="Arial" w:eastAsia="Arial" w:hAnsi="Arial"/>
          <w:color w:val="1A1A2E"/>
          <w:sz w:val="22"/>
          <w:szCs w:val="22"/>
        </w:rPr>
        <w:t xml:space="preserve">Governance is not a post-launch concern. It is a first-class engineering requirement baked into every stage of the production loop. The MOS enforces a Knowledge-First culture where every agentic output is traceable, every risk is documented, and every trade-off is audited through a structured decision framework.</w:t>
      </w:r>
    </w:p>
    <w:p>
      <w:r>
        <w:t xml:space="preserve"/>
      </w:r>
    </w:p>
    <w:p>
      <w:pPr>
        <w:pStyle w:val="Heading2"/>
        <w:spacing w:before="280" w:after="100"/>
      </w:pPr>
      <w:r>
        <w:rPr>
          <w:rFonts w:ascii="Arial" w:cs="Arial" w:eastAsia="Arial" w:hAnsi="Arial"/>
          <w:b/>
          <w:bCs/>
          <w:color w:val="0F3460"/>
          <w:sz w:val="28"/>
          <w:szCs w:val="28"/>
        </w:rPr>
        <w:t xml:space="preserve">9.1 IP Protection Culture and the Derivatives Registry</w:t>
      </w:r>
    </w:p>
    <w:p>
      <w:pPr>
        <w:spacing w:before="80" w:after="80" w:line="320"/>
      </w:pPr>
      <w:r>
        <w:rPr>
          <w:rFonts w:ascii="Arial" w:cs="Arial" w:eastAsia="Arial" w:hAnsi="Arial"/>
          <w:color w:val="1A1A2E"/>
          <w:sz w:val="22"/>
          <w:szCs w:val="22"/>
        </w:rPr>
        <w:t xml:space="preserve">Every model weight produced by fine-tuning, every AI-generated code artifact, and every synthetic dataset used for STaR training is treated as sensitive intellectual property. The Derivatives Registry maintains full lineage: which base model was used, which training data was applied, which team owns the derivative, and what regulatory constraints govern its deployment.</w:t>
      </w:r>
    </w:p>
    <w:p>
      <w:r>
        <w:t xml:space="preserve"/>
      </w:r>
    </w:p>
    <w:p>
      <w:pPr>
        <w:pStyle w:val="Heading2"/>
        <w:spacing w:before="280" w:after="100"/>
      </w:pPr>
      <w:r>
        <w:rPr>
          <w:rFonts w:ascii="Arial" w:cs="Arial" w:eastAsia="Arial" w:hAnsi="Arial"/>
          <w:b/>
          <w:bCs/>
          <w:color w:val="0F3460"/>
          <w:sz w:val="28"/>
          <w:szCs w:val="28"/>
        </w:rPr>
        <w:t xml:space="preserve">9.2 The PEIG Decision Framework</w:t>
      </w:r>
    </w:p>
    <w:p>
      <w:pPr>
        <w:spacing w:before="80" w:after="80" w:line="320"/>
      </w:pPr>
      <w:r>
        <w:rPr>
          <w:rFonts w:ascii="Arial" w:cs="Arial" w:eastAsia="Arial" w:hAnsi="Arial"/>
          <w:color w:val="1A1A2E"/>
          <w:sz w:val="22"/>
          <w:szCs w:val="22"/>
        </w:rPr>
        <w:t xml:space="preserve">All architectural trade-offs — GPU vendor selection, cloud provider choice, inference stack decisions, data sovereignty options — are audited through the PEIG matrix before commitment. The matrix ensures no decision optimizes exclusively for technical performance at the expense of ethics, downstream impact, or governance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4680"/>
        <w:gridCol w:w="3000"/>
      </w:tblGrid>
      <w:tr>
        <w:tc>
          <w:tcPr>
            <w:tcW w:type="dxa" w:w="1680"/>
            <w:tcBorders>
              <w:top w:val="single" w:color="0F3460" w:sz="1"/>
              <w:left w:val="single" w:color="0F3460" w:sz="1"/>
              <w:bottom w:val="single" w:color="0F3460" w:sz="1"/>
              <w:right w:val="single" w:color="0F3460"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PEIG Dimension</w:t>
            </w:r>
          </w:p>
        </w:tc>
        <w:tc>
          <w:tcPr>
            <w:tcW w:type="dxa" w:w="4680"/>
            <w:tcBorders>
              <w:top w:val="single" w:color="0F3460" w:sz="1"/>
              <w:left w:val="single" w:color="0F3460" w:sz="1"/>
              <w:bottom w:val="single" w:color="0F3460" w:sz="1"/>
              <w:right w:val="single" w:color="0F3460"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Evaluation Questions</w:t>
            </w:r>
          </w:p>
        </w:tc>
        <w:tc>
          <w:tcPr>
            <w:tcW w:type="dxa" w:w="3000"/>
            <w:tcBorders>
              <w:top w:val="single" w:color="0F3460" w:sz="1"/>
              <w:left w:val="single" w:color="0F3460" w:sz="1"/>
              <w:bottom w:val="single" w:color="0F3460" w:sz="1"/>
              <w:right w:val="single" w:color="0F3460"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68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Pros</w:t>
            </w:r>
          </w:p>
        </w:tc>
        <w:tc>
          <w:tcPr>
            <w:tcW w:type="dxa" w:w="468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What are the measurable performance, cost, and operational benefits? What does the benchmark data show?</w:t>
            </w:r>
          </w:p>
        </w:tc>
        <w:tc>
          <w:tcPr>
            <w:tcW w:type="dxa" w:w="30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Quantified benefit statement with confidence interval</w:t>
            </w:r>
          </w:p>
        </w:tc>
      </w:tr>
      <w:tr>
        <w:tc>
          <w:tcPr>
            <w:tcW w:type="dxa" w:w="168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Ethics</w:t>
            </w:r>
          </w:p>
        </w:tc>
        <w:tc>
          <w:tcPr>
            <w:tcW w:type="dxa" w:w="468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Does this decision create bias risk, privacy exposure, or environmental harm? Who is disadvantaged by this choice?</w:t>
            </w:r>
          </w:p>
        </w:tc>
        <w:tc>
          <w:tcPr>
            <w:tcW w:type="dxa" w:w="30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Bias assessment + privacy impact score</w:t>
            </w:r>
          </w:p>
        </w:tc>
      </w:tr>
      <w:tr>
        <w:tc>
          <w:tcPr>
            <w:tcW w:type="dxa" w:w="168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Impact</w:t>
            </w:r>
          </w:p>
        </w:tc>
        <w:tc>
          <w:tcPr>
            <w:tcW w:type="dxa" w:w="468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What is the blast radius of failure? What are the second-order effects on downstream services and users?</w:t>
            </w:r>
          </w:p>
        </w:tc>
        <w:tc>
          <w:tcPr>
            <w:tcW w:type="dxa" w:w="30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Dependency graph + failure mode analysis</w:t>
            </w:r>
          </w:p>
        </w:tc>
      </w:tr>
      <w:tr>
        <w:tc>
          <w:tcPr>
            <w:tcW w:type="dxa" w:w="168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Governance</w:t>
            </w:r>
          </w:p>
        </w:tc>
        <w:tc>
          <w:tcPr>
            <w:tcW w:type="dxa" w:w="468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Does this comply with GDPR, EU AI Act, NIST 800-171, and organizational policy? What approval is required?</w:t>
            </w:r>
          </w:p>
        </w:tc>
        <w:tc>
          <w:tcPr>
            <w:tcW w:type="dxa" w:w="30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Compliance checklist + approver list</w:t>
            </w:r>
          </w:p>
        </w:tc>
      </w:tr>
    </w:tbl>
    <w:p>
      <w:r>
        <w:t xml:space="preserve"/>
      </w:r>
    </w:p>
    <w:p>
      <w:pPr>
        <w:pStyle w:val="Heading2"/>
        <w:spacing w:before="280" w:after="100"/>
      </w:pPr>
      <w:r>
        <w:rPr>
          <w:rFonts w:ascii="Arial" w:cs="Arial" w:eastAsia="Arial" w:hAnsi="Arial"/>
          <w:b/>
          <w:bCs/>
          <w:color w:val="0F3460"/>
          <w:sz w:val="28"/>
          <w:szCs w:val="28"/>
        </w:rPr>
        <w:t xml:space="preserve">9.3 Regulatory Change Watch Automation</w:t>
      </w:r>
    </w:p>
    <w:p>
      <w:pPr>
        <w:spacing w:before="80" w:after="80" w:line="320"/>
      </w:pPr>
      <w:r>
        <w:rPr>
          <w:rFonts w:ascii="Arial" w:cs="Arial" w:eastAsia="Arial" w:hAnsi="Arial"/>
          <w:color w:val="1A1A2E"/>
          <w:sz w:val="22"/>
          <w:szCs w:val="22"/>
        </w:rPr>
        <w:t xml:space="preserve">The MOS maintains a Regulatory Change Watch feed that monitors changes to GDPR guidance, EU AI Act implementing acts, NIST framework updates, and sector-specific compliance requirements. When a regulatory change is detected that affects a governed workload, an automated impact assessment is generated within 48 hours and routed to the Governance Lead for review.</w:t>
      </w:r>
    </w:p>
    <w:p>
      <w:pPr>
        <w:pBdr>
          <w:bottom w:val="single" w:color="E94560" w:sz="4" w:space="1"/>
        </w:pBdr>
        <w:spacing w:before="160" w:after="160"/>
      </w:pPr>
      <w:r>
        <w:t xml:space="preserve"/>
      </w:r>
    </w:p>
    <w:p>
      <w:pPr>
        <w:pStyle w:val="Heading1"/>
        <w:pBdr>
          <w:bottom w:val="single" w:color="E94560" w:sz="8" w:space="4"/>
        </w:pBdr>
        <w:spacing w:before="360" w:after="120"/>
      </w:pPr>
      <w:r>
        <w:rPr>
          <w:rFonts w:ascii="Arial" w:cs="Arial" w:eastAsia="Arial" w:hAnsi="Arial"/>
          <w:b/>
          <w:bCs/>
          <w:color w:val="16213E"/>
          <w:sz w:val="36"/>
          <w:szCs w:val="36"/>
        </w:rPr>
        <w:t xml:space="preserve">Part X: Security Posture — OWASP LLM Top 10 and Secret Zero</w:t>
      </w:r>
    </w:p>
    <w:p>
      <w:pPr>
        <w:spacing w:before="80" w:after="80" w:line="320"/>
      </w:pPr>
      <w:r>
        <w:rPr>
          <w:rFonts w:ascii="Arial" w:cs="Arial" w:eastAsia="Arial" w:hAnsi="Arial"/>
          <w:color w:val="1A1A2E"/>
          <w:sz w:val="22"/>
          <w:szCs w:val="22"/>
        </w:rPr>
        <w:t xml:space="preserve">AI-specific attack surfaces require AI-specific defenses. Traditional application security frameworks do not account for prompt injection, model inversion, or the unique risks of agentic systems with real-world tool access. This MOS enforces a layered security posture addressing every tier of the OWASP LLM Top 10.</w:t>
      </w:r>
    </w:p>
    <w:p>
      <w:r>
        <w:t xml:space="preserve"/>
      </w:r>
    </w:p>
    <w:p>
      <w:pPr>
        <w:pStyle w:val="Heading2"/>
        <w:spacing w:before="280" w:after="100"/>
      </w:pPr>
      <w:r>
        <w:rPr>
          <w:rFonts w:ascii="Arial" w:cs="Arial" w:eastAsia="Arial" w:hAnsi="Arial"/>
          <w:b/>
          <w:bCs/>
          <w:color w:val="0F3460"/>
          <w:sz w:val="28"/>
          <w:szCs w:val="28"/>
        </w:rPr>
        <w:t xml:space="preserve">10.1 OWASP LLM Top 10 Mitigation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0F3460" w:sz="1"/>
              <w:left w:val="single" w:color="0F3460" w:sz="1"/>
              <w:bottom w:val="single" w:color="0F3460" w:sz="1"/>
              <w:right w:val="single" w:color="0F3460"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OWASP LLM Risk</w:t>
            </w:r>
          </w:p>
        </w:tc>
        <w:tc>
          <w:tcPr>
            <w:tcW w:type="dxa" w:w="4560"/>
            <w:tcBorders>
              <w:top w:val="single" w:color="0F3460" w:sz="1"/>
              <w:left w:val="single" w:color="0F3460" w:sz="1"/>
              <w:bottom w:val="single" w:color="0F3460" w:sz="1"/>
              <w:right w:val="single" w:color="0F3460"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MOS Mitigation</w:t>
            </w:r>
          </w:p>
        </w:tc>
        <w:tc>
          <w:tcPr>
            <w:tcW w:type="dxa" w:w="2400"/>
            <w:tcBorders>
              <w:top w:val="single" w:color="0F3460" w:sz="1"/>
              <w:left w:val="single" w:color="0F3460" w:sz="1"/>
              <w:bottom w:val="single" w:color="0F3460" w:sz="1"/>
              <w:right w:val="single" w:color="0F3460"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Enforcement Layer</w:t>
            </w:r>
          </w:p>
        </w:tc>
      </w:tr>
      <w:tr>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LLM01: Prompt Injection</w:t>
            </w:r>
          </w:p>
        </w:tc>
        <w:tc>
          <w:tcPr>
            <w:tcW w:type="dxa" w:w="45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Input sanitization at L3 gate; structured prompt envelopes with injection-resistant delimiters; output validation hooks</w:t>
            </w:r>
          </w:p>
        </w:tc>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L3 (Deterministic Gate)</w:t>
            </w:r>
          </w:p>
        </w:tc>
      </w:tr>
      <w:tr>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LLM02: Insecure Output Handling</w:t>
            </w:r>
          </w:p>
        </w:tc>
        <w:tc>
          <w:tcPr>
            <w:tcW w:type="dxa" w:w="45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All agent outputs pass through a PostToolUse validation hook before execution; code execution sandboxed</w:t>
            </w:r>
          </w:p>
        </w:tc>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L3 Hooks + Sandbox</w:t>
            </w:r>
          </w:p>
        </w:tc>
      </w:tr>
      <w:tr>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LLM03: Training Data Poisoning</w:t>
            </w:r>
          </w:p>
        </w:tc>
        <w:tc>
          <w:tcPr>
            <w:tcW w:type="dxa" w:w="45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RAGAS faithfulness scoring on all RAG retrievals; Derivatives Registry tracks training data provenance</w:t>
            </w:r>
          </w:p>
        </w:tc>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L2 Skills + Registry</w:t>
            </w:r>
          </w:p>
        </w:tc>
      </w:tr>
      <w:tr>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LLM04: Model DoS</w:t>
            </w:r>
          </w:p>
        </w:tc>
        <w:tc>
          <w:tcPr>
            <w:tcW w:type="dxa" w:w="45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MIG partitioning isolates tenants; request rate limits enforced at Inference Gateway; circuit breaker on decode queue depth</w:t>
            </w:r>
          </w:p>
        </w:tc>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L4 + MIG + Gateway</w:t>
            </w:r>
          </w:p>
        </w:tc>
      </w:tr>
      <w:tr>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LLM05: Supply Chain Vulnerabilities</w:t>
            </w:r>
          </w:p>
        </w:tc>
        <w:tc>
          <w:tcPr>
            <w:tcW w:type="dxa" w:w="45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All model weights verified via SHA-256 hash at load time; ModelCar images scanned in CI before promotion</w:t>
            </w:r>
          </w:p>
        </w:tc>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CI/CD + ModelCar</w:t>
            </w:r>
          </w:p>
        </w:tc>
      </w:tr>
      <w:tr>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LLM06: Sensitive Information Disclosure</w:t>
            </w:r>
          </w:p>
        </w:tc>
        <w:tc>
          <w:tcPr>
            <w:tcW w:type="dxa" w:w="45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Secret Zero policy — no secrets in prompts, CLAUDE.md, or agent context; environment isolation via DID scope</w:t>
            </w:r>
          </w:p>
        </w:tc>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L1 + DID Auth</w:t>
            </w:r>
          </w:p>
        </w:tc>
      </w:tr>
      <w:tr>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LLM07: Insecure Plugin Design</w:t>
            </w:r>
          </w:p>
        </w:tc>
        <w:tc>
          <w:tcPr>
            <w:tcW w:type="dxa" w:w="45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All MCP tools registered in MOS-REGISTRY with explicit permission scope; no wildcard tool grants</w:t>
            </w:r>
          </w:p>
        </w:tc>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L4 Agent Permissions</w:t>
            </w:r>
          </w:p>
        </w:tc>
      </w:tr>
      <w:tr>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LLM08: Excessive Agency</w:t>
            </w:r>
          </w:p>
        </w:tc>
        <w:tc>
          <w:tcPr>
            <w:tcW w:type="dxa" w:w="45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Graduated authority levels enforced at L4; all destructive operations require human-in-loop approval</w:t>
            </w:r>
          </w:p>
        </w:tc>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L4 Authority Gates</w:t>
            </w:r>
          </w:p>
        </w:tc>
      </w:tr>
      <w:tr>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LLM09: Overreliance</w:t>
            </w:r>
          </w:p>
        </w:tc>
        <w:tc>
          <w:tcPr>
            <w:tcW w:type="dxa" w:w="45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Angel's Advocate sections required on all AI-generated outputs; human review gate for HIGH risk decisions</w:t>
            </w:r>
          </w:p>
        </w:tc>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Governance Protocol</w:t>
            </w:r>
          </w:p>
        </w:tc>
      </w:tr>
      <w:tr>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LLM10: Model Theft</w:t>
            </w:r>
          </w:p>
        </w:tc>
        <w:tc>
          <w:tcPr>
            <w:tcW w:type="dxa" w:w="45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IP protection culture + Derivatives Registry; model weights encrypted at rest with per-tenant keys</w:t>
            </w:r>
          </w:p>
        </w:tc>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Data Fortress + KMS</w:t>
            </w:r>
          </w:p>
        </w:tc>
      </w:tr>
    </w:tbl>
    <w:p>
      <w:r>
        <w:t xml:space="preserve"/>
      </w:r>
    </w:p>
    <w:p>
      <w:pPr>
        <w:pStyle w:val="Heading2"/>
        <w:spacing w:before="280" w:after="100"/>
      </w:pPr>
      <w:r>
        <w:rPr>
          <w:rFonts w:ascii="Arial" w:cs="Arial" w:eastAsia="Arial" w:hAnsi="Arial"/>
          <w:b/>
          <w:bCs/>
          <w:color w:val="0F3460"/>
          <w:sz w:val="28"/>
          <w:szCs w:val="28"/>
        </w:rPr>
        <w:t xml:space="preserve">10.2 Secret Zero Protocol</w:t>
      </w:r>
    </w:p>
    <w:p>
      <w:pPr>
        <w:spacing w:before="80" w:after="80" w:line="320"/>
      </w:pPr>
      <w:r>
        <w:rPr>
          <w:rFonts w:ascii="Arial" w:cs="Arial" w:eastAsia="Arial" w:hAnsi="Arial"/>
          <w:color w:val="1A1A2E"/>
          <w:sz w:val="22"/>
          <w:szCs w:val="22"/>
        </w:rPr>
        <w:t xml:space="preserve">The Secret Zero protocol eliminates the "chicken and egg" problem of bootstrapping secrets management. The first credential the system ever uses — the one that grants access to all other secrets — is the only credential that must be manually provisioned. Every subsequent secret is retrieved dynamically from a secrets manager (Vault, AWS Secrets Manager, or equivalent) using the Zero trust identity of the requesting agent.</w:t>
      </w:r>
    </w:p>
    <w:p>
      <w:pPr>
        <w:pStyle w:val="ListParagraph"/>
        <w:numPr>
          <w:ilvl w:val="0"/>
          <w:numId w:val="3"/>
        </w:numPr>
        <w:spacing w:before="60" w:after="60"/>
      </w:pPr>
      <w:r>
        <w:rPr>
          <w:rFonts w:ascii="Arial" w:cs="Arial" w:eastAsia="Arial" w:hAnsi="Arial"/>
          <w:color w:val="1A1A2E"/>
          <w:sz w:val="22"/>
          <w:szCs w:val="22"/>
        </w:rPr>
        <w:t xml:space="preserve">No secrets are ever stored in CLAUDE.md, git repositories, environment variable files, or agent context.</w:t>
      </w:r>
    </w:p>
    <w:p>
      <w:pPr>
        <w:pStyle w:val="ListParagraph"/>
        <w:numPr>
          <w:ilvl w:val="0"/>
          <w:numId w:val="3"/>
        </w:numPr>
        <w:spacing w:before="60" w:after="60"/>
      </w:pPr>
      <w:r>
        <w:rPr>
          <w:rFonts w:ascii="Arial" w:cs="Arial" w:eastAsia="Arial" w:hAnsi="Arial"/>
          <w:color w:val="1A1A2E"/>
          <w:sz w:val="22"/>
          <w:szCs w:val="22"/>
        </w:rPr>
        <w:t xml:space="preserve">All secret access is logged with the agent DID, timestamp, and requested resource.</w:t>
      </w:r>
    </w:p>
    <w:p>
      <w:pPr>
        <w:pStyle w:val="ListParagraph"/>
        <w:numPr>
          <w:ilvl w:val="0"/>
          <w:numId w:val="3"/>
        </w:numPr>
        <w:spacing w:before="60" w:after="60"/>
      </w:pPr>
      <w:r>
        <w:rPr>
          <w:rFonts w:ascii="Arial" w:cs="Arial" w:eastAsia="Arial" w:hAnsi="Arial"/>
          <w:color w:val="1A1A2E"/>
          <w:sz w:val="22"/>
          <w:szCs w:val="22"/>
        </w:rPr>
        <w:t xml:space="preserve">Secrets rotate automatically on a schedule governed by their risk classification.</w:t>
      </w:r>
    </w:p>
    <w:p>
      <w:pPr>
        <w:pStyle w:val="ListParagraph"/>
        <w:numPr>
          <w:ilvl w:val="0"/>
          <w:numId w:val="3"/>
        </w:numPr>
        <w:spacing w:before="60" w:after="60"/>
      </w:pPr>
      <w:r>
        <w:rPr>
          <w:rFonts w:ascii="Arial" w:cs="Arial" w:eastAsia="Arial" w:hAnsi="Arial"/>
          <w:color w:val="1A1A2E"/>
          <w:sz w:val="22"/>
          <w:szCs w:val="22"/>
        </w:rPr>
        <w:t xml:space="preserve">Any detection of a secret in a non-approved location triggers an immediate rotation and incident report.</w:t>
      </w:r>
    </w:p>
    <w:p>
      <w:pPr>
        <w:pBdr>
          <w:bottom w:val="single" w:color="E94560" w:sz="4" w:space="1"/>
        </w:pBdr>
        <w:spacing w:before="160" w:after="160"/>
      </w:pPr>
      <w:r>
        <w:t xml:space="preserve"/>
      </w:r>
    </w:p>
    <w:p>
      <w:pPr>
        <w:pStyle w:val="Heading1"/>
        <w:pBdr>
          <w:bottom w:val="single" w:color="E94560" w:sz="8" w:space="4"/>
        </w:pBdr>
        <w:spacing w:before="360" w:after="120"/>
      </w:pPr>
      <w:r>
        <w:rPr>
          <w:rFonts w:ascii="Arial" w:cs="Arial" w:eastAsia="Arial" w:hAnsi="Arial"/>
          <w:b/>
          <w:bCs/>
          <w:color w:val="16213E"/>
          <w:sz w:val="36"/>
          <w:szCs w:val="36"/>
        </w:rPr>
        <w:t xml:space="preserve">Part XI: Observability — OTel-Based Self-Healing Loops</w:t>
      </w:r>
    </w:p>
    <w:p>
      <w:pPr>
        <w:spacing w:before="80" w:after="80" w:line="320"/>
      </w:pPr>
      <w:r>
        <w:rPr>
          <w:rFonts w:ascii="Arial" w:cs="Arial" w:eastAsia="Arial" w:hAnsi="Arial"/>
          <w:color w:val="1A1A2E"/>
          <w:sz w:val="22"/>
          <w:szCs w:val="22"/>
        </w:rPr>
        <w:t xml:space="preserve">Observability is not monitoring. Monitoring tells you that something is wrong. Observability tells you why — and in this MOS, it also tells the system how to fix it. The full OTel/Prometheus/Grafana stack is deployed as a first-class infrastructure component, not a post-hoc operational add-on.</w:t>
      </w:r>
    </w:p>
    <w:p>
      <w:r>
        <w:t xml:space="preserve"/>
      </w:r>
    </w:p>
    <w:p>
      <w:pPr>
        <w:pStyle w:val="Heading2"/>
        <w:spacing w:before="280" w:after="100"/>
      </w:pPr>
      <w:r>
        <w:rPr>
          <w:rFonts w:ascii="Arial" w:cs="Arial" w:eastAsia="Arial" w:hAnsi="Arial"/>
          <w:b/>
          <w:bCs/>
          <w:color w:val="0F3460"/>
          <w:sz w:val="28"/>
          <w:szCs w:val="28"/>
        </w:rPr>
        <w:t xml:space="preserve">11.1 Token-Level Metrics</w:t>
      </w:r>
    </w:p>
    <w:p>
      <w:pPr>
        <w:spacing w:before="80" w:after="80" w:line="320"/>
      </w:pPr>
      <w:r>
        <w:rPr>
          <w:rFonts w:ascii="Arial" w:cs="Arial" w:eastAsia="Arial" w:hAnsi="Arial"/>
          <w:color w:val="1A1A2E"/>
          <w:sz w:val="22"/>
          <w:szCs w:val="22"/>
        </w:rPr>
        <w:t xml:space="preserve">Standard application metrics (CPU, memory, request rate) are insufficient for LLM serving operations. This MOS mandates token-level instrumentation: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0F3460" w:sz="1"/>
              <w:left w:val="single" w:color="0F3460" w:sz="1"/>
              <w:bottom w:val="single" w:color="0F3460" w:sz="1"/>
              <w:right w:val="single" w:color="0F3460"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800"/>
            <w:tcBorders>
              <w:top w:val="single" w:color="0F3460" w:sz="1"/>
              <w:left w:val="single" w:color="0F3460" w:sz="1"/>
              <w:bottom w:val="single" w:color="0F3460" w:sz="1"/>
              <w:right w:val="single" w:color="0F3460"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160"/>
            <w:tcBorders>
              <w:top w:val="single" w:color="0F3460" w:sz="1"/>
              <w:left w:val="single" w:color="0F3460" w:sz="1"/>
              <w:bottom w:val="single" w:color="0F3460" w:sz="1"/>
              <w:right w:val="single" w:color="0F3460"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SLO Target</w:t>
            </w:r>
          </w:p>
        </w:tc>
      </w:tr>
      <w:tr>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TTFT (Time to First Token)</w:t>
            </w:r>
          </w:p>
        </w:tc>
        <w:tc>
          <w:tcPr>
            <w:tcW w:type="dxa" w:w="3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Latency from request receipt to first token emitted</w:t>
            </w:r>
          </w:p>
        </w:tc>
        <w:tc>
          <w:tcPr>
            <w:tcW w:type="dxa" w:w="31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&lt; 100ms p99</w:t>
            </w:r>
          </w:p>
        </w:tc>
      </w:tr>
      <w:tr>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TBT (Time Between Tokens)</w:t>
            </w:r>
          </w:p>
        </w:tc>
        <w:tc>
          <w:tcPr>
            <w:tcW w:type="dxa" w:w="3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Inter-token latency during streaming decode</w:t>
            </w:r>
          </w:p>
        </w:tc>
        <w:tc>
          <w:tcPr>
            <w:tcW w:type="dxa" w:w="31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&lt; 20ms p95</w:t>
            </w:r>
          </w:p>
        </w:tc>
      </w:tr>
      <w:tr>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Token Throughput</w:t>
            </w:r>
          </w:p>
        </w:tc>
        <w:tc>
          <w:tcPr>
            <w:tcW w:type="dxa" w:w="3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Tokens generated per second across all active requests</w:t>
            </w:r>
          </w:p>
        </w:tc>
        <w:tc>
          <w:tcPr>
            <w:tcW w:type="dxa" w:w="31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&gt; 500 tok/s per 3g.20gb MIG instance</w:t>
            </w:r>
          </w:p>
        </w:tc>
      </w:tr>
      <w:tr>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KV Cache Hit Rate</w:t>
            </w:r>
          </w:p>
        </w:tc>
        <w:tc>
          <w:tcPr>
            <w:tcW w:type="dxa" w:w="3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Percentage of prefill requests served from cache</w:t>
            </w:r>
          </w:p>
        </w:tc>
        <w:tc>
          <w:tcPr>
            <w:tcW w:type="dxa" w:w="31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&gt; 95% on stable workloads</w:t>
            </w:r>
          </w:p>
        </w:tc>
      </w:tr>
      <w:tr>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Queue Depth</w:t>
            </w:r>
          </w:p>
        </w:tc>
        <w:tc>
          <w:tcPr>
            <w:tcW w:type="dxa" w:w="3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Number of requests waiting for a decode slot</w:t>
            </w:r>
          </w:p>
        </w:tc>
        <w:tc>
          <w:tcPr>
            <w:tcW w:type="dxa" w:w="31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&lt; 10 sustained; circuit break at 50</w:t>
            </w:r>
          </w:p>
        </w:tc>
      </w:tr>
      <w:tr>
        <w:tc>
          <w:tcPr>
            <w:tcW w:type="dxa" w:w="24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RAGAS Faithfulness</w:t>
            </w:r>
          </w:p>
        </w:tc>
        <w:tc>
          <w:tcPr>
            <w:tcW w:type="dxa" w:w="3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Percentage of RAG responses faithful to retrieved context</w:t>
            </w:r>
          </w:p>
        </w:tc>
        <w:tc>
          <w:tcPr>
            <w:tcW w:type="dxa" w:w="31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&gt; 0.92 on production queries</w:t>
            </w:r>
          </w:p>
        </w:tc>
      </w:tr>
    </w:tbl>
    <w:p>
      <w:r>
        <w:t xml:space="preserve"/>
      </w:r>
    </w:p>
    <w:p>
      <w:pPr>
        <w:pStyle w:val="Heading2"/>
        <w:spacing w:before="280" w:after="100"/>
      </w:pPr>
      <w:r>
        <w:rPr>
          <w:rFonts w:ascii="Arial" w:cs="Arial" w:eastAsia="Arial" w:hAnsi="Arial"/>
          <w:b/>
          <w:bCs/>
          <w:color w:val="0F3460"/>
          <w:sz w:val="28"/>
          <w:szCs w:val="28"/>
        </w:rPr>
        <w:t xml:space="preserve">11.2 Self-Healing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DD8" w:sz="1"/>
              <w:left w:val="single" w:color="C8CDD8" w:sz="1"/>
              <w:bottom w:val="single" w:color="C8CDD8" w:sz="1"/>
              <w:right w:val="single" w:color="C8CDD8" w:sz="1"/>
            </w:tcBorders>
            <w:shd w:fill="1E1E2E" w:val="clear"/>
            <w:tcMar>
              <w:top w:type="dxa" w:w="120"/>
              <w:left w:type="dxa" w:w="200"/>
              <w:bottom w:type="dxa" w:w="120"/>
              <w:right w:type="dxa" w:w="200"/>
            </w:tcMar>
          </w:tcPr>
          <w:p>
            <w:r>
              <w:rPr>
                <w:rFonts w:ascii="Courier New" w:cs="Courier New" w:eastAsia="Courier New" w:hAnsi="Courier New"/>
                <w:color w:val="E2E8F0"/>
                <w:sz w:val="18"/>
                <w:szCs w:val="18"/>
              </w:rPr>
              <w:t xml:space="preserve"># OTel-driven Self-Healing Configuration</w:t>
            </w:r>
          </w:p>
          <w:p>
            <w:r>
              <w:rPr>
                <w:rFonts w:ascii="Courier New" w:cs="Courier New" w:eastAsia="Courier New" w:hAnsi="Courier New"/>
                <w:color w:val="E2E8F0"/>
                <w:sz w:val="18"/>
                <w:szCs w:val="18"/>
              </w:rPr>
              <w:t xml:space="preserve">apiVersion: mos/v8</w:t>
            </w:r>
          </w:p>
          <w:p>
            <w:r>
              <w:rPr>
                <w:rFonts w:ascii="Courier New" w:cs="Courier New" w:eastAsia="Courier New" w:hAnsi="Courier New"/>
                <w:color w:val="E2E8F0"/>
                <w:sz w:val="18"/>
                <w:szCs w:val="18"/>
              </w:rPr>
              <w:t xml:space="preserve">kind: SelfHealingPolicy</w:t>
            </w:r>
          </w:p>
          <w:p>
            <w:r>
              <w:rPr>
                <w:rFonts w:ascii="Courier New" w:cs="Courier New" w:eastAsia="Courier New" w:hAnsi="Courier New"/>
                <w:color w:val="E2E8F0"/>
                <w:sz w:val="18"/>
                <w:szCs w:val="18"/>
              </w:rPr>
              <w:t xml:space="preserve">metadata:</w:t>
            </w:r>
          </w:p>
          <w:p>
            <w:r>
              <w:rPr>
                <w:rFonts w:ascii="Courier New" w:cs="Courier New" w:eastAsia="Courier New" w:hAnsi="Courier New"/>
                <w:color w:val="E2E8F0"/>
                <w:sz w:val="18"/>
                <w:szCs w:val="18"/>
              </w:rPr>
              <w:t xml:space="preserve">  name: inference-self-healing</w:t>
            </w:r>
          </w:p>
          <w:p>
            <w:r>
              <w:rPr>
                <w:rFonts w:ascii="Courier New" w:cs="Courier New" w:eastAsia="Courier New" w:hAnsi="Courier New"/>
                <w:color w:val="E2E8F0"/>
                <w:sz w:val="18"/>
                <w:szCs w:val="18"/>
              </w:rPr>
              <w:t xml:space="preserve">spec:</w:t>
            </w:r>
          </w:p>
          <w:p>
            <w:r>
              <w:rPr>
                <w:rFonts w:ascii="Courier New" w:cs="Courier New" w:eastAsia="Courier New" w:hAnsi="Courier New"/>
                <w:color w:val="E2E8F0"/>
                <w:sz w:val="18"/>
                <w:szCs w:val="18"/>
              </w:rPr>
              <w:t xml:space="preserve">  trigger_conditions:</w:t>
            </w:r>
          </w:p>
          <w:p>
            <w:r>
              <w:rPr>
                <w:rFonts w:ascii="Courier New" w:cs="Courier New" w:eastAsia="Courier New" w:hAnsi="Courier New"/>
                <w:color w:val="E2E8F0"/>
                <w:sz w:val="18"/>
                <w:szCs w:val="18"/>
              </w:rPr>
              <w:t xml:space="preserve">    - metric: ttft_p99_ms</w:t>
            </w:r>
          </w:p>
          <w:p>
            <w:r>
              <w:rPr>
                <w:rFonts w:ascii="Courier New" w:cs="Courier New" w:eastAsia="Courier New" w:hAnsi="Courier New"/>
                <w:color w:val="E2E8F0"/>
                <w:sz w:val="18"/>
                <w:szCs w:val="18"/>
              </w:rPr>
              <w:t xml:space="preserve">      threshold: 200</w:t>
            </w:r>
          </w:p>
          <w:p>
            <w:r>
              <w:rPr>
                <w:rFonts w:ascii="Courier New" w:cs="Courier New" w:eastAsia="Courier New" w:hAnsi="Courier New"/>
                <w:color w:val="E2E8F0"/>
                <w:sz w:val="18"/>
                <w:szCs w:val="18"/>
              </w:rPr>
              <w:t xml:space="preserve">      window: 2m</w:t>
            </w:r>
          </w:p>
          <w:p>
            <w:r>
              <w:rPr>
                <w:rFonts w:ascii="Courier New" w:cs="Courier New" w:eastAsia="Courier New" w:hAnsi="Courier New"/>
                <w:color w:val="E2E8F0"/>
                <w:sz w:val="18"/>
                <w:szCs w:val="18"/>
              </w:rPr>
              <w:t xml:space="preserve">      action: scale_decode_replicas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 metric: gpu_memory_utilization</w:t>
            </w:r>
          </w:p>
          <w:p>
            <w:r>
              <w:rPr>
                <w:rFonts w:ascii="Courier New" w:cs="Courier New" w:eastAsia="Courier New" w:hAnsi="Courier New"/>
                <w:color w:val="E2E8F0"/>
                <w:sz w:val="18"/>
                <w:szCs w:val="18"/>
              </w:rPr>
              <w:t xml:space="preserve">      threshold: 0.90</w:t>
            </w:r>
          </w:p>
          <w:p>
            <w:r>
              <w:rPr>
                <w:rFonts w:ascii="Courier New" w:cs="Courier New" w:eastAsia="Courier New" w:hAnsi="Courier New"/>
                <w:color w:val="E2E8F0"/>
                <w:sz w:val="18"/>
                <w:szCs w:val="18"/>
              </w:rPr>
              <w:t xml:space="preserve">      window: 1m</w:t>
            </w:r>
          </w:p>
          <w:p>
            <w:r>
              <w:rPr>
                <w:rFonts w:ascii="Courier New" w:cs="Courier New" w:eastAsia="Courier New" w:hAnsi="Courier New"/>
                <w:color w:val="E2E8F0"/>
                <w:sz w:val="18"/>
                <w:szCs w:val="18"/>
              </w:rPr>
              <w:t xml:space="preserve">      action: evict_lru_kv_cache</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 metric: error_rate_5xx</w:t>
            </w:r>
          </w:p>
          <w:p>
            <w:r>
              <w:rPr>
                <w:rFonts w:ascii="Courier New" w:cs="Courier New" w:eastAsia="Courier New" w:hAnsi="Courier New"/>
                <w:color w:val="E2E8F0"/>
                <w:sz w:val="18"/>
                <w:szCs w:val="18"/>
              </w:rPr>
              <w:t xml:space="preserve">      threshold: 0.01</w:t>
            </w:r>
          </w:p>
          <w:p>
            <w:r>
              <w:rPr>
                <w:rFonts w:ascii="Courier New" w:cs="Courier New" w:eastAsia="Courier New" w:hAnsi="Courier New"/>
                <w:color w:val="E2E8F0"/>
                <w:sz w:val="18"/>
                <w:szCs w:val="18"/>
              </w:rPr>
              <w:t xml:space="preserve">      window: 5m</w:t>
            </w:r>
          </w:p>
          <w:p>
            <w:r>
              <w:rPr>
                <w:rFonts w:ascii="Courier New" w:cs="Courier New" w:eastAsia="Courier New" w:hAnsi="Courier New"/>
                <w:color w:val="E2E8F0"/>
                <w:sz w:val="18"/>
                <w:szCs w:val="18"/>
              </w:rPr>
              <w:t xml:space="preserve">      action: circuit_breaker_open</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 metric: kv_cache_hit_rate</w:t>
            </w:r>
          </w:p>
          <w:p>
            <w:r>
              <w:rPr>
                <w:rFonts w:ascii="Courier New" w:cs="Courier New" w:eastAsia="Courier New" w:hAnsi="Courier New"/>
                <w:color w:val="E2E8F0"/>
                <w:sz w:val="18"/>
                <w:szCs w:val="18"/>
              </w:rPr>
              <w:t xml:space="preserve">      threshold: 0.80</w:t>
            </w:r>
          </w:p>
          <w:p>
            <w:r>
              <w:rPr>
                <w:rFonts w:ascii="Courier New" w:cs="Courier New" w:eastAsia="Courier New" w:hAnsi="Courier New"/>
                <w:color w:val="E2E8F0"/>
                <w:sz w:val="18"/>
                <w:szCs w:val="18"/>
              </w:rPr>
              <w:t xml:space="preserve">      window: 10m</w:t>
            </w:r>
          </w:p>
          <w:p>
            <w:r>
              <w:rPr>
                <w:rFonts w:ascii="Courier New" w:cs="Courier New" w:eastAsia="Courier New" w:hAnsi="Courier New"/>
                <w:color w:val="E2E8F0"/>
                <w:sz w:val="18"/>
                <w:szCs w:val="18"/>
              </w:rPr>
              <w:t xml:space="preserve">      action: warm_cache_from_top_prefixes</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remediation_timeout_minutes: 15</w:t>
            </w:r>
          </w:p>
          <w:p>
            <w:r>
              <w:rPr>
                <w:rFonts w:ascii="Courier New" w:cs="Courier New" w:eastAsia="Courier New" w:hAnsi="Courier New"/>
                <w:color w:val="E2E8F0"/>
                <w:sz w:val="18"/>
                <w:szCs w:val="18"/>
              </w:rPr>
              <w:t xml:space="preserve">  escalate_to_human_on_timeout: true</w:t>
            </w:r>
          </w:p>
          <w:p>
            <w:r>
              <w:rPr>
                <w:rFonts w:ascii="Courier New" w:cs="Courier New" w:eastAsia="Courier New" w:hAnsi="Courier New"/>
                <w:color w:val="E2E8F0"/>
                <w:sz w:val="18"/>
                <w:szCs w:val="18"/>
              </w:rPr>
              <w:t xml:space="preserve">  write_outcome_to: mos-long-term-memory</w:t>
            </w:r>
          </w:p>
        </w:tc>
      </w:tr>
    </w:tbl>
    <w:p>
      <w:pPr>
        <w:pBdr>
          <w:bottom w:val="single" w:color="E94560" w:sz="4" w:space="1"/>
        </w:pBdr>
        <w:spacing w:before="160" w:after="160"/>
      </w:pPr>
      <w:r>
        <w:t xml:space="preserve"/>
      </w:r>
    </w:p>
    <w:p>
      <w:pPr>
        <w:pStyle w:val="Heading1"/>
        <w:pBdr>
          <w:bottom w:val="single" w:color="E94560" w:sz="8" w:space="4"/>
        </w:pBdr>
        <w:spacing w:before="360" w:after="120"/>
      </w:pPr>
      <w:r>
        <w:rPr>
          <w:rFonts w:ascii="Arial" w:cs="Arial" w:eastAsia="Arial" w:hAnsi="Arial"/>
          <w:b/>
          <w:bCs/>
          <w:color w:val="16213E"/>
          <w:sz w:val="36"/>
          <w:szCs w:val="36"/>
        </w:rPr>
        <w:t xml:space="preserve">Part XII: Multi-Level Self-Evolution — The STaR Protocol</w:t>
      </w:r>
    </w:p>
    <w:p>
      <w:pPr>
        <w:spacing w:before="80" w:after="80" w:line="320"/>
      </w:pPr>
      <w:r>
        <w:rPr>
          <w:rFonts w:ascii="Arial" w:cs="Arial" w:eastAsia="Arial" w:hAnsi="Arial"/>
          <w:color w:val="1A1A2E"/>
          <w:sz w:val="22"/>
          <w:szCs w:val="22"/>
        </w:rPr>
        <w:t xml:space="preserve">The MOS does not remain static after deployment. It undergoes three levels of continuous self-improvement, from in-context lesson capture through to weight internalization via Supervised Fine-Tuning. This is not a metaphor for iterative development — it is a precise technical architecture for autonomous intelligence improvement.</w:t>
      </w:r>
    </w:p>
    <w:p>
      <w:r>
        <w:t xml:space="preserve"/>
      </w:r>
    </w:p>
    <w:p>
      <w:pPr>
        <w:pStyle w:val="Heading2"/>
        <w:spacing w:before="280" w:after="100"/>
      </w:pPr>
      <w:r>
        <w:rPr>
          <w:rFonts w:ascii="Arial" w:cs="Arial" w:eastAsia="Arial" w:hAnsi="Arial"/>
          <w:b/>
          <w:bCs/>
          <w:color w:val="0F3460"/>
          <w:sz w:val="28"/>
          <w:szCs w:val="28"/>
        </w:rPr>
        <w:t xml:space="preserve">Level 1 — In-Context Evolution</w:t>
      </w:r>
    </w:p>
    <w:p>
      <w:pPr>
        <w:spacing w:before="80" w:after="80" w:line="320"/>
      </w:pPr>
      <w:r>
        <w:rPr>
          <w:rFonts w:ascii="Arial" w:cs="Arial" w:eastAsia="Arial" w:hAnsi="Arial"/>
          <w:color w:val="1A1A2E"/>
          <w:sz w:val="22"/>
          <w:szCs w:val="22"/>
        </w:rPr>
        <w:t xml:space="preserve">Reflector agents analyze every failed task trajectory and extract a "Lesson" object: what went wrong, what the correct approach would have been, and what rule prevents the failure in future. Lessons are stored in Long-Term Memory and retrieved via semantic similarity search for analogous tasks. The effect is cumulative — the system becomes measurably more reliable with each failure it processes.</w:t>
      </w:r>
    </w:p>
    <w:p>
      <w:r>
        <w:t xml:space="preserve"/>
      </w:r>
    </w:p>
    <w:p>
      <w:pPr>
        <w:pStyle w:val="Heading2"/>
        <w:spacing w:before="280" w:after="100"/>
      </w:pPr>
      <w:r>
        <w:rPr>
          <w:rFonts w:ascii="Arial" w:cs="Arial" w:eastAsia="Arial" w:hAnsi="Arial"/>
          <w:b/>
          <w:bCs/>
          <w:color w:val="0F3460"/>
          <w:sz w:val="28"/>
          <w:szCs w:val="28"/>
        </w:rPr>
        <w:t xml:space="preserve">Level 2 — Self-Taught Reasoning (STaR)</w:t>
      </w:r>
    </w:p>
    <w:p>
      <w:pPr>
        <w:spacing w:before="80" w:after="80" w:line="320"/>
      </w:pPr>
      <w:r>
        <w:rPr>
          <w:rFonts w:ascii="Arial" w:cs="Arial" w:eastAsia="Arial" w:hAnsi="Arial"/>
          <w:color w:val="1A1A2E"/>
          <w:sz w:val="22"/>
          <w:szCs w:val="22"/>
        </w:rPr>
        <w:t xml:space="preserve">The system internalizes successful reasoning patterns into model weights through a three-phase pipeline:</w:t>
      </w:r>
    </w:p>
    <w:p>
      <w:pPr>
        <w:pStyle w:val="ListParagraph"/>
        <w:numPr>
          <w:ilvl w:val="0"/>
          <w:numId w:val="2"/>
        </w:numPr>
        <w:spacing w:before="60" w:after="60"/>
      </w:pPr>
      <w:r>
        <w:rPr>
          <w:rFonts w:ascii="Arial" w:cs="Arial" w:eastAsia="Arial" w:hAnsi="Arial"/>
          <w:color w:val="1A1A2E"/>
          <w:sz w:val="22"/>
          <w:szCs w:val="22"/>
        </w:rPr>
        <w:t xml:space="preserve">Trajectory Generation — For complex DevOps tasks, generate multiple candidate reasoning paths with branching decision points.</w:t>
      </w:r>
    </w:p>
    <w:p>
      <w:pPr>
        <w:pStyle w:val="ListParagraph"/>
        <w:numPr>
          <w:ilvl w:val="0"/>
          <w:numId w:val="2"/>
        </w:numPr>
        <w:spacing w:before="60" w:after="60"/>
      </w:pPr>
      <w:r>
        <w:rPr>
          <w:rFonts w:ascii="Arial" w:cs="Arial" w:eastAsia="Arial" w:hAnsi="Arial"/>
          <w:color w:val="1A1A2E"/>
          <w:sz w:val="22"/>
          <w:szCs w:val="22"/>
        </w:rPr>
        <w:t xml:space="preserve">Oracle Filtering — Evaluate all trajectories against ground-truth oracles: unit test pass rates, RAGAS faithfulness scores, PEIG matrix compliance, and SLO achievement. Only "self-purified" successful trajectories are retained for training.</w:t>
      </w:r>
    </w:p>
    <w:p>
      <w:pPr>
        <w:pStyle w:val="ListParagraph"/>
        <w:numPr>
          <w:ilvl w:val="0"/>
          <w:numId w:val="2"/>
        </w:numPr>
        <w:spacing w:before="60" w:after="60"/>
      </w:pPr>
      <w:r>
        <w:rPr>
          <w:rFonts w:ascii="Arial" w:cs="Arial" w:eastAsia="Arial" w:hAnsi="Arial"/>
          <w:color w:val="1A1A2E"/>
          <w:sz w:val="22"/>
          <w:szCs w:val="22"/>
        </w:rPr>
        <w:t xml:space="preserve">Supervised Fine-Tuning — Periodically fine-tune the base model on successful trajectory datasets, converting slow deliberative search into fast, single-pass heuristics. Training data is tracked in the Derivatives Registry with full provenance.</w:t>
      </w:r>
    </w:p>
    <w:p>
      <w:r>
        <w:t xml:space="preserve"/>
      </w:r>
    </w:p>
    <w:p>
      <w:pPr>
        <w:pStyle w:val="Heading2"/>
        <w:spacing w:before="280" w:after="100"/>
      </w:pPr>
      <w:r>
        <w:rPr>
          <w:rFonts w:ascii="Arial" w:cs="Arial" w:eastAsia="Arial" w:hAnsi="Arial"/>
          <w:b/>
          <w:bCs/>
          <w:color w:val="0F3460"/>
          <w:sz w:val="28"/>
          <w:szCs w:val="28"/>
        </w:rPr>
        <w:t xml:space="preserve">Level 3 — Edge Latency and Architectural Optimization</w:t>
      </w:r>
    </w:p>
    <w:p>
      <w:pPr>
        <w:spacing w:before="80" w:after="80" w:line="320"/>
      </w:pPr>
      <w:r>
        <w:rPr>
          <w:rFonts w:ascii="Arial" w:cs="Arial" w:eastAsia="Arial" w:hAnsi="Arial"/>
          <w:color w:val="1A1A2E"/>
          <w:sz w:val="22"/>
          <w:szCs w:val="22"/>
        </w:rPr>
        <w:t xml:space="preserve">At the architectural level, the system continuously evaluates the R-formula tradeoff (edge vs. cloud) and rebalances workload placement as network conditions, hardware costs, and regulatory requirements evolve. This is automated portfolio management for infrastructure — not a quarterly review, but a continuous optimization loop.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E94560" w:val="clear"/>
          </w:tcPr>
          <w:p>
            <w:r>
              <w:t xml:space="preserve"/>
            </w:r>
          </w:p>
        </w:tc>
        <w:tc>
          <w:tcPr>
            <w:tcW w:type="dxa" w:w="9040"/>
            <w:tcBorders>
              <w:top w:val="none" w:color="FFFFFF" w:sz="0"/>
              <w:left w:val="none" w:color="FFFFFF" w:sz="0"/>
              <w:bottom w:val="none" w:color="FFFFFF" w:sz="0"/>
              <w:right w:val="none" w:color="FFFFFF" w:sz="0"/>
            </w:tcBorders>
            <w:shd w:fill="FEF2F2" w:val="clear"/>
            <w:tcMar>
              <w:top w:type="dxa" w:w="120"/>
              <w:left w:type="dxa" w:w="200"/>
              <w:bottom w:type="dxa" w:w="120"/>
              <w:right w:type="dxa" w:w="120"/>
            </w:tcMar>
          </w:tcPr>
          <w:p>
            <w:r>
              <w:rPr>
                <w:rFonts w:ascii="Arial" w:cs="Arial" w:eastAsia="Arial" w:hAnsi="Arial"/>
                <w:b/>
                <w:bCs/>
                <w:color w:val="E94560"/>
                <w:sz w:val="20"/>
                <w:szCs w:val="20"/>
              </w:rPr>
              <w:t xml:space="preserve">SELF-EVOLUTION GOVERNANCE</w:t>
            </w:r>
          </w:p>
          <w:p>
            <w:pPr>
              <w:spacing w:before="40"/>
            </w:pPr>
            <w:r>
              <w:rPr>
                <w:rFonts w:ascii="Arial" w:cs="Arial" w:eastAsia="Arial" w:hAnsi="Arial"/>
                <w:color w:val="1A1A2E"/>
                <w:sz w:val="20"/>
                <w:szCs w:val="20"/>
              </w:rPr>
              <w:t xml:space="preserve">STaR fine-tuning is subject to the same PEIG review as any model deployment. The Derivatives Registry must be updated before any fine-tuning run begins. Training data provenance, evaluation methodology, and performance delta must be documented. A governance-unchecked fine-tuning cycle is a model safety violation.</w:t>
            </w:r>
          </w:p>
        </w:tc>
      </w:tr>
    </w:tbl>
    <w:p>
      <w:pPr>
        <w:pBdr>
          <w:bottom w:val="single" w:color="E94560" w:sz="4" w:space="1"/>
        </w:pBdr>
        <w:spacing w:before="160" w:after="160"/>
      </w:pPr>
      <w:r>
        <w:t xml:space="preserve"/>
      </w:r>
    </w:p>
    <w:p>
      <w:pPr>
        <w:pStyle w:val="Heading1"/>
        <w:pBdr>
          <w:bottom w:val="single" w:color="E94560" w:sz="8" w:space="4"/>
        </w:pBdr>
        <w:spacing w:before="360" w:after="120"/>
      </w:pPr>
      <w:r>
        <w:rPr>
          <w:rFonts w:ascii="Arial" w:cs="Arial" w:eastAsia="Arial" w:hAnsi="Arial"/>
          <w:b/>
          <w:bCs/>
          <w:color w:val="16213E"/>
          <w:sz w:val="36"/>
          <w:szCs w:val="36"/>
        </w:rPr>
        <w:t xml:space="preserve">Part XIII: Execution Power Commands</w:t>
      </w:r>
    </w:p>
    <w:p>
      <w:pPr>
        <w:spacing w:before="80" w:after="80" w:line="320"/>
      </w:pPr>
      <w:r>
        <w:rPr>
          <w:rFonts w:ascii="Arial" w:cs="Arial" w:eastAsia="Arial" w:hAnsi="Arial"/>
          <w:color w:val="1A1A2E"/>
          <w:sz w:val="22"/>
          <w:szCs w:val="22"/>
        </w:rPr>
        <w:t xml:space="preserve">These commands trigger the advanced operational protocols of the Omega Synthesis MOS. They are not prompts — they are deterministic state machines that initiate governed workflows with defined entry conditions, execution steps, and exit criteria.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0F3460" w:sz="1"/>
              <w:left w:val="single" w:color="0F3460" w:sz="1"/>
              <w:bottom w:val="single" w:color="0F3460" w:sz="1"/>
              <w:right w:val="single" w:color="0F3460"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200"/>
            <w:tcBorders>
              <w:top w:val="single" w:color="0F3460" w:sz="1"/>
              <w:left w:val="single" w:color="0F3460" w:sz="1"/>
              <w:bottom w:val="single" w:color="0F3460" w:sz="1"/>
              <w:right w:val="single" w:color="0F3460"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Protocol Triggered</w:t>
            </w:r>
          </w:p>
        </w:tc>
        <w:tc>
          <w:tcPr>
            <w:tcW w:type="dxa" w:w="3360"/>
            <w:tcBorders>
              <w:top w:val="single" w:color="0F3460" w:sz="1"/>
              <w:left w:val="single" w:color="0F3460" w:sz="1"/>
              <w:bottom w:val="single" w:color="0F3460" w:sz="1"/>
              <w:right w:val="single" w:color="0F3460"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JUST EVOLVE</w:t>
            </w:r>
          </w:p>
        </w:tc>
        <w:tc>
          <w:tcPr>
            <w:tcW w:type="dxa" w:w="42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Full regenerative production loop: Assess → Design → Audit → Implement → Verify → Document. Triggers STaR Level 2 evolution cycle.</w:t>
            </w:r>
          </w:p>
        </w:tc>
        <w:tc>
          <w:tcPr>
            <w:tcW w:type="dxa" w:w="33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Architecture ADR, updated CLAUDE.md, lessons written to LTM</w:t>
            </w:r>
          </w:p>
        </w:tc>
      </w:tr>
      <w:tr>
        <w:tc>
          <w:tcPr>
            <w:tcW w:type="dxa" w:w="1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JUST DESIGN</w:t>
            </w:r>
          </w:p>
        </w:tc>
        <w:tc>
          <w:tcPr>
            <w:tcW w:type="dxa" w:w="42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Generates system architecture diagram (Mermaid), API contracts (OpenAPI 3.1), PEIG matrix, and Angel's Advocate section.</w:t>
            </w:r>
          </w:p>
        </w:tc>
        <w:tc>
          <w:tcPr>
            <w:tcW w:type="dxa" w:w="33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Architecture spec with full governance documentation</w:t>
            </w:r>
          </w:p>
        </w:tc>
      </w:tr>
      <w:tr>
        <w:tc>
          <w:tcPr>
            <w:tcW w:type="dxa" w:w="1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JUST BUILD</w:t>
            </w:r>
          </w:p>
        </w:tc>
        <w:tc>
          <w:tcPr>
            <w:tcW w:type="dxa" w:w="42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Produces production-ready, self-certifying code with integrated tests, security hooks, and deployment manifests.</w:t>
            </w:r>
          </w:p>
        </w:tc>
        <w:tc>
          <w:tcPr>
            <w:tcW w:type="dxa" w:w="33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Code + tests + deployment artifacts + compliance attestation</w:t>
            </w:r>
          </w:p>
        </w:tc>
      </w:tr>
      <w:tr>
        <w:tc>
          <w:tcPr>
            <w:tcW w:type="dxa" w:w="1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JUST SECURE</w:t>
            </w:r>
          </w:p>
        </w:tc>
        <w:tc>
          <w:tcPr>
            <w:tcW w:type="dxa" w:w="42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Executes threat model, OWASP LLM Top 10 scan, Secret Zero audit, and cryptographic certificate review.</w:t>
            </w:r>
          </w:p>
        </w:tc>
        <w:tc>
          <w:tcPr>
            <w:tcW w:type="dxa" w:w="33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Security posture report with CVSS scores and remediation plan</w:t>
            </w:r>
          </w:p>
        </w:tc>
      </w:tr>
      <w:tr>
        <w:tc>
          <w:tcPr>
            <w:tcW w:type="dxa" w:w="18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JUST MONITOR</w:t>
            </w:r>
          </w:p>
        </w:tc>
        <w:tc>
          <w:tcPr>
            <w:tcW w:type="dxa" w:w="420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Deploys full OTel/Prometheus/Grafana observability stack with token-level metrics and self-healing policies.</w:t>
            </w:r>
          </w:p>
        </w:tc>
        <w:tc>
          <w:tcPr>
            <w:tcW w:type="dxa" w:w="3360"/>
            <w:tcBorders>
              <w:top w:val="single" w:color="C8CDD8" w:sz="1"/>
              <w:left w:val="single" w:color="C8CDD8" w:sz="1"/>
              <w:bottom w:val="single" w:color="C8CDD8" w:sz="1"/>
              <w:right w:val="single" w:color="C8CDD8"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Live dashboards + alert rules + self-healing policy objects</w:t>
            </w:r>
          </w:p>
        </w:tc>
      </w:tr>
    </w:tbl>
    <w:p>
      <w:pPr>
        <w:pBdr>
          <w:bottom w:val="single" w:color="E94560" w:sz="4" w:space="1"/>
        </w:pBdr>
        <w:spacing w:before="160" w:after="160"/>
      </w:pPr>
      <w:r>
        <w:t xml:space="preserve"/>
      </w:r>
    </w:p>
    <w:p>
      <w:pPr>
        <w:pStyle w:val="Heading1"/>
        <w:pBdr>
          <w:bottom w:val="single" w:color="E94560" w:sz="8" w:space="4"/>
        </w:pBdr>
        <w:spacing w:before="360" w:after="120"/>
      </w:pPr>
      <w:r>
        <w:rPr>
          <w:rFonts w:ascii="Arial" w:cs="Arial" w:eastAsia="Arial" w:hAnsi="Arial"/>
          <w:b/>
          <w:bCs/>
          <w:color w:val="16213E"/>
          <w:sz w:val="36"/>
          <w:szCs w:val="36"/>
        </w:rPr>
        <w:t xml:space="preserve">Part XIV: Architecture Reference — Autonomous Stack</w:t>
      </w:r>
    </w:p>
    <w:p>
      <w:pPr>
        <w:spacing w:before="80" w:after="80" w:line="320"/>
      </w:pPr>
      <w:r>
        <w:rPr>
          <w:rFonts w:ascii="Arial" w:cs="Arial" w:eastAsia="Arial" w:hAnsi="Arial"/>
          <w:color w:val="1A1A2E"/>
          <w:sz w:val="22"/>
          <w:szCs w:val="22"/>
        </w:rPr>
        <w:t xml:space="preserve">The following diagram represents the logical architecture of the Omega Synthesis autonomous DevOpsStack. Read from bottom to top: hardware mesh at the foundation, inference disaggregation in the middle tier, and the 4-layer cognitive architecture at the apex.</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DD8" w:sz="1"/>
              <w:left w:val="single" w:color="C8CDD8" w:sz="1"/>
              <w:bottom w:val="single" w:color="C8CDD8" w:sz="1"/>
              <w:right w:val="single" w:color="C8CDD8" w:sz="1"/>
            </w:tcBorders>
            <w:shd w:fill="1E1E2E" w:val="clear"/>
            <w:tcMar>
              <w:top w:type="dxa" w:w="120"/>
              <w:left w:type="dxa" w:w="200"/>
              <w:bottom w:type="dxa" w:w="120"/>
              <w:right w:type="dxa" w:w="200"/>
            </w:tcMar>
          </w:tcPr>
          <w:p>
            <w:r>
              <w:rPr>
                <w:rFonts w:ascii="Courier New" w:cs="Courier New" w:eastAsia="Courier New" w:hAnsi="Courier New"/>
                <w:color w:val="E2E8F0"/>
                <w:sz w:val="18"/>
                <w:szCs w:val="18"/>
              </w:rPr>
              <w:t xml:space="preserve">graph TB</w:t>
            </w:r>
          </w:p>
          <w:p>
            <w:r>
              <w:rPr>
                <w:rFonts w:ascii="Courier New" w:cs="Courier New" w:eastAsia="Courier New" w:hAnsi="Courier New"/>
                <w:color w:val="E2E8F0"/>
                <w:sz w:val="18"/>
                <w:szCs w:val="18"/>
              </w:rPr>
              <w:t xml:space="preserve">  subgraph HW["Hardware Mesh Layer"]</w:t>
            </w:r>
          </w:p>
          <w:p>
            <w:r>
              <w:rPr>
                <w:rFonts w:ascii="Courier New" w:cs="Courier New" w:eastAsia="Courier New" w:hAnsi="Courier New"/>
                <w:color w:val="E2E8F0"/>
                <w:sz w:val="18"/>
                <w:szCs w:val="18"/>
              </w:rPr>
              <w:t xml:space="preserve">    A[Apple Silicon Nodes&lt;br/&gt;Thunderbolt 5 Full Mesh&lt;br/&gt;RDMA via macOS Tahoe 26.2]</w:t>
            </w:r>
          </w:p>
          <w:p>
            <w:r>
              <w:rPr>
                <w:rFonts w:ascii="Courier New" w:cs="Courier New" w:eastAsia="Courier New" w:hAnsi="Courier New"/>
                <w:color w:val="E2E8F0"/>
                <w:sz w:val="18"/>
                <w:szCs w:val="18"/>
              </w:rPr>
              <w:t xml:space="preserve">    B[NVIDIA H100/A100&lt;br/&gt;MIG Partitioned&lt;br/&gt;3g.20gb Multi-tenant]</w:t>
            </w:r>
          </w:p>
          <w:p>
            <w:r>
              <w:rPr>
                <w:rFonts w:ascii="Courier New" w:cs="Courier New" w:eastAsia="Courier New" w:hAnsi="Courier New"/>
                <w:color w:val="E2E8F0"/>
                <w:sz w:val="18"/>
                <w:szCs w:val="18"/>
              </w:rPr>
              <w:t xml:space="preserve">    C[OPNsense 26.1&lt;br/&gt;hostwatch Layer 2 Visibility&lt;br/&gt;RDMA Network Fabric]</w:t>
            </w:r>
          </w:p>
          <w:p>
            <w:r>
              <w:rPr>
                <w:rFonts w:ascii="Courier New" w:cs="Courier New" w:eastAsia="Courier New" w:hAnsi="Courier New"/>
                <w:color w:val="E2E8F0"/>
                <w:sz w:val="18"/>
                <w:szCs w:val="18"/>
              </w:rPr>
              <w:t xml:space="preserve">  end</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subgraph INF["Inference Disaggregation Layer"]</w:t>
            </w:r>
          </w:p>
          <w:p>
            <w:r>
              <w:rPr>
                <w:rFonts w:ascii="Courier New" w:cs="Courier New" w:eastAsia="Courier New" w:hAnsi="Courier New"/>
                <w:color w:val="E2E8F0"/>
                <w:sz w:val="18"/>
                <w:szCs w:val="18"/>
              </w:rPr>
              <w:t xml:space="preserve">    D[Prefill Phase&lt;br/&gt;Formation Lap&lt;br/&gt;CPU offload capable]</w:t>
            </w:r>
          </w:p>
          <w:p>
            <w:r>
              <w:rPr>
                <w:rFonts w:ascii="Courier New" w:cs="Courier New" w:eastAsia="Courier New" w:hAnsi="Courier New"/>
                <w:color w:val="E2E8F0"/>
                <w:sz w:val="18"/>
                <w:szCs w:val="18"/>
              </w:rPr>
              <w:t xml:space="preserve">    E[Decode Phase&lt;br/&gt;PagedAttention GPU&lt;br/&gt;&lt; 100ms TTFT SLO]</w:t>
            </w:r>
          </w:p>
          <w:p>
            <w:r>
              <w:rPr>
                <w:rFonts w:ascii="Courier New" w:cs="Courier New" w:eastAsia="Courier New" w:hAnsi="Courier New"/>
                <w:color w:val="E2E8F0"/>
                <w:sz w:val="18"/>
                <w:szCs w:val="18"/>
              </w:rPr>
              <w:t xml:space="preserve">    F[Inference Gateway&lt;br/&gt;Prefix-Aware Routing&lt;br/&gt;&gt; 95% Cache Hit Rate]</w:t>
            </w:r>
          </w:p>
          <w:p>
            <w:r>
              <w:rPr>
                <w:rFonts w:ascii="Courier New" w:cs="Courier New" w:eastAsia="Courier New" w:hAnsi="Courier New"/>
                <w:color w:val="E2E8F0"/>
                <w:sz w:val="18"/>
                <w:szCs w:val="18"/>
              </w:rPr>
              <w:t xml:space="preserve">  end</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subgraph AG["Agentic Workforce Layer — L4"]</w:t>
            </w:r>
          </w:p>
          <w:p>
            <w:r>
              <w:rPr>
                <w:rFonts w:ascii="Courier New" w:cs="Courier New" w:eastAsia="Courier New" w:hAnsi="Courier New"/>
                <w:color w:val="E2E8F0"/>
                <w:sz w:val="18"/>
                <w:szCs w:val="18"/>
              </w:rPr>
              <w:t xml:space="preserve">    G[Security Reviewer&lt;br/&gt;READ ONLY authority]</w:t>
            </w:r>
          </w:p>
          <w:p>
            <w:r>
              <w:rPr>
                <w:rFonts w:ascii="Courier New" w:cs="Courier New" w:eastAsia="Courier New" w:hAnsi="Courier New"/>
                <w:color w:val="E2E8F0"/>
                <w:sz w:val="18"/>
                <w:szCs w:val="18"/>
              </w:rPr>
              <w:t xml:space="preserve">    H[Deploy Agent&lt;br/&gt;FULL authority]</w:t>
            </w:r>
          </w:p>
          <w:p>
            <w:r>
              <w:rPr>
                <w:rFonts w:ascii="Courier New" w:cs="Courier New" w:eastAsia="Courier New" w:hAnsi="Courier New"/>
                <w:color w:val="E2E8F0"/>
                <w:sz w:val="18"/>
                <w:szCs w:val="18"/>
              </w:rPr>
              <w:t xml:space="preserve">    I[DB Migration Agent&lt;br/&gt;GOVERNED authority]</w:t>
            </w:r>
          </w:p>
          <w:p>
            <w:r>
              <w:rPr>
                <w:rFonts w:ascii="Courier New" w:cs="Courier New" w:eastAsia="Courier New" w:hAnsi="Courier New"/>
                <w:color w:val="E2E8F0"/>
                <w:sz w:val="18"/>
                <w:szCs w:val="18"/>
              </w:rPr>
              <w:t xml:space="preserve">    J[Janitor Agent&lt;br/&gt;TTL enforcement]</w:t>
            </w:r>
          </w:p>
          <w:p>
            <w:r>
              <w:rPr>
                <w:rFonts w:ascii="Courier New" w:cs="Courier New" w:eastAsia="Courier New" w:hAnsi="Courier New"/>
                <w:color w:val="E2E8F0"/>
                <w:sz w:val="18"/>
                <w:szCs w:val="18"/>
              </w:rPr>
              <w:t xml:space="preserve">  end</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subgraph CTRL["Governance and Control — L1-L3"]</w:t>
            </w:r>
          </w:p>
          <w:p>
            <w:r>
              <w:rPr>
                <w:rFonts w:ascii="Courier New" w:cs="Courier New" w:eastAsia="Courier New" w:hAnsi="Courier New"/>
                <w:color w:val="E2E8F0"/>
                <w:sz w:val="18"/>
                <w:szCs w:val="18"/>
              </w:rPr>
              <w:t xml:space="preserve">    K[CLAUDE.md — Contextual Spine&lt;br/&gt;Persistent memory + Gotchas]</w:t>
            </w:r>
          </w:p>
          <w:p>
            <w:r>
              <w:rPr>
                <w:rFonts w:ascii="Courier New" w:cs="Courier New" w:eastAsia="Courier New" w:hAnsi="Courier New"/>
                <w:color w:val="E2E8F0"/>
                <w:sz w:val="18"/>
                <w:szCs w:val="18"/>
              </w:rPr>
              <w:t xml:space="preserve">    L[Skill Mesh — L2&lt;br/&gt;Auto-invoked knowledge packs]</w:t>
            </w:r>
          </w:p>
          <w:p>
            <w:r>
              <w:rPr>
                <w:rFonts w:ascii="Courier New" w:cs="Courier New" w:eastAsia="Courier New" w:hAnsi="Courier New"/>
                <w:color w:val="E2E8F0"/>
                <w:sz w:val="18"/>
                <w:szCs w:val="18"/>
              </w:rPr>
              <w:t xml:space="preserve">    M[Deterministic Gate — L3&lt;br/&gt;PreToolUse / PostToolUse hooks]</w:t>
            </w:r>
          </w:p>
          <w:p>
            <w:r>
              <w:rPr>
                <w:rFonts w:ascii="Courier New" w:cs="Courier New" w:eastAsia="Courier New" w:hAnsi="Courier New"/>
                <w:color w:val="E2E8F0"/>
                <w:sz w:val="18"/>
                <w:szCs w:val="18"/>
              </w:rPr>
              <w:t xml:space="preserve">  end</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subgraph OBS["Observability and Self-Healing"]</w:t>
            </w:r>
          </w:p>
          <w:p>
            <w:r>
              <w:rPr>
                <w:rFonts w:ascii="Courier New" w:cs="Courier New" w:eastAsia="Courier New" w:hAnsi="Courier New"/>
                <w:color w:val="E2E8F0"/>
                <w:sz w:val="18"/>
                <w:szCs w:val="18"/>
              </w:rPr>
              <w:t xml:space="preserve">    N[OTel Collectors&lt;br/&gt;Token-level metrics]</w:t>
            </w:r>
          </w:p>
          <w:p>
            <w:r>
              <w:rPr>
                <w:rFonts w:ascii="Courier New" w:cs="Courier New" w:eastAsia="Courier New" w:hAnsi="Courier New"/>
                <w:color w:val="E2E8F0"/>
                <w:sz w:val="18"/>
                <w:szCs w:val="18"/>
              </w:rPr>
              <w:t xml:space="preserve">    O[Prometheus + Grafana&lt;br/&gt;SLO dashboards]</w:t>
            </w:r>
          </w:p>
          <w:p>
            <w:r>
              <w:rPr>
                <w:rFonts w:ascii="Courier New" w:cs="Courier New" w:eastAsia="Courier New" w:hAnsi="Courier New"/>
                <w:color w:val="E2E8F0"/>
                <w:sz w:val="18"/>
                <w:szCs w:val="18"/>
              </w:rPr>
              <w:t xml:space="preserve">    P[Self-Healing Policy Engine&lt;br/&gt;5-15 min autonomous remediation]</w:t>
            </w:r>
          </w:p>
          <w:p>
            <w:r>
              <w:rPr>
                <w:rFonts w:ascii="Courier New" w:cs="Courier New" w:eastAsia="Courier New" w:hAnsi="Courier New"/>
                <w:color w:val="E2E8F0"/>
                <w:sz w:val="18"/>
                <w:szCs w:val="18"/>
              </w:rPr>
              <w:t xml:space="preserve">  end</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subgraph GOV["Global Control and Governance"]</w:t>
            </w:r>
          </w:p>
          <w:p>
            <w:r>
              <w:rPr>
                <w:rFonts w:ascii="Courier New" w:cs="Courier New" w:eastAsia="Courier New" w:hAnsi="Courier New"/>
                <w:color w:val="E2E8F0"/>
                <w:sz w:val="18"/>
                <w:szCs w:val="18"/>
              </w:rPr>
              <w:t xml:space="preserve">    Q[Polaris Control Plane&lt;br/&gt;Hybrid + Multi-cloud + Data Fortresses]</w:t>
            </w:r>
          </w:p>
          <w:p>
            <w:r>
              <w:rPr>
                <w:rFonts w:ascii="Courier New" w:cs="Courier New" w:eastAsia="Courier New" w:hAnsi="Courier New"/>
                <w:color w:val="E2E8F0"/>
                <w:sz w:val="18"/>
                <w:szCs w:val="18"/>
              </w:rPr>
              <w:t xml:space="preserve">    R[MOS-REGISTRY&lt;br/&gt;Asset inventory + NetworkAssetInventory]</w:t>
            </w:r>
          </w:p>
          <w:p>
            <w:r>
              <w:rPr>
                <w:rFonts w:ascii="Courier New" w:cs="Courier New" w:eastAsia="Courier New" w:hAnsi="Courier New"/>
                <w:color w:val="E2E8F0"/>
                <w:sz w:val="18"/>
                <w:szCs w:val="18"/>
              </w:rPr>
              <w:t xml:space="preserve">    S[PEIG Framework&lt;br/&gt;All trade-offs audited]</w:t>
            </w:r>
          </w:p>
          <w:p>
            <w:r>
              <w:rPr>
                <w:rFonts w:ascii="Courier New" w:cs="Courier New" w:eastAsia="Courier New" w:hAnsi="Courier New"/>
                <w:color w:val="E2E8F0"/>
                <w:sz w:val="18"/>
                <w:szCs w:val="18"/>
              </w:rPr>
              <w:t xml:space="preserve">  end</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  HW --&gt; INF --&gt; AG --&gt; CTRL --&gt; OBS --&gt; GOV</w:t>
            </w:r>
          </w:p>
        </w:tc>
      </w:tr>
    </w:tbl>
    <w:p>
      <w:r>
        <w:t xml:space="preserve"/>
      </w:r>
    </w:p>
    <w:p>
      <w:pPr>
        <w:pBdr>
          <w:bottom w:val="single" w:color="E94560" w:sz="4" w:space="1"/>
        </w:pBdr>
        <w:spacing w:before="160" w:after="160"/>
      </w:pPr>
      <w:r>
        <w:t xml:space="preserve"/>
      </w:r>
    </w:p>
    <w:p>
      <w:pPr>
        <w:pStyle w:val="Heading1"/>
        <w:pBdr>
          <w:bottom w:val="single" w:color="E94560" w:sz="8" w:space="4"/>
        </w:pBdr>
        <w:spacing w:before="360" w:after="120"/>
      </w:pPr>
      <w:r>
        <w:rPr>
          <w:rFonts w:ascii="Arial" w:cs="Arial" w:eastAsia="Arial" w:hAnsi="Arial"/>
          <w:b/>
          <w:bCs/>
          <w:color w:val="16213E"/>
          <w:sz w:val="36"/>
          <w:szCs w:val="36"/>
        </w:rPr>
        <w:t xml:space="preserve">Conclusion: From Vibe Coding to Autonomous AI Factory</w:t>
      </w:r>
    </w:p>
    <w:p>
      <w:pPr>
        <w:spacing w:before="80" w:after="80" w:line="320"/>
      </w:pPr>
      <w:r>
        <w:rPr>
          <w:rFonts w:ascii="Arial" w:cs="Arial" w:eastAsia="Arial" w:hAnsi="Arial"/>
          <w:color w:val="1A1A2E"/>
          <w:sz w:val="22"/>
          <w:szCs w:val="22"/>
        </w:rPr>
        <w:t xml:space="preserve">The Omega Synthesis MOS is not a framework you install and configure once. It is a living system that evolves alongside your technology, your team, and the regulatory environment it operates within. Its value is cumulative: every failure processed becomes a lesson, every lesson becomes a rule, every rule becomes faster and more reliable autonomous execution.</w:t>
      </w:r>
    </w:p>
    <w:p>
      <w:r>
        <w:t xml:space="preserve"/>
      </w:r>
    </w:p>
    <w:p>
      <w:pPr>
        <w:spacing w:before="80" w:after="80" w:line="320"/>
      </w:pPr>
      <w:r>
        <w:rPr>
          <w:rFonts w:ascii="Arial" w:cs="Arial" w:eastAsia="Arial" w:hAnsi="Arial"/>
          <w:color w:val="1A1A2E"/>
          <w:sz w:val="22"/>
          <w:szCs w:val="22"/>
        </w:rPr>
        <w:t xml:space="preserve">The enterprises that will define the next decade are not those with the largest models or the most GPU compute. They are the ones that built governance-first, intelligence-first cultures — where agentic systems operate within cryptographically enforced mandates, where every trade-off passes through the PEIG matrix, and where self-healing infrastructure resolves incidents faster than humans can even be paged.</w:t>
      </w:r>
    </w:p>
    <w:p>
      <w:r>
        <w:t xml:space="preserve"/>
      </w:r>
    </w:p>
    <w:p>
      <w:pPr>
        <w:spacing w:before="80" w:after="80" w:line="320"/>
      </w:pPr>
      <w:r>
        <w:rPr>
          <w:rFonts w:ascii="Arial" w:cs="Arial" w:eastAsia="Arial" w:hAnsi="Arial"/>
          <w:color w:val="1A1A2E"/>
          <w:sz w:val="22"/>
          <w:szCs w:val="22"/>
        </w:rPr>
        <w:t xml:space="preserve">That is what this MOS delivers. Not a vision. A specification. Execute it.</w:t>
      </w:r>
    </w:p>
    <w:p>
      <w:r>
        <w:t xml:space="preserve"/>
      </w:r>
    </w:p>
    <w:p>
      <w:pPr>
        <w:pBdr>
          <w:top w:val="single" w:color="E94560" w:sz="4" w:space="4"/>
          <w:bottom w:val="single" w:color="E94560" w:sz="4" w:space="4"/>
        </w:pBdr>
        <w:spacing w:before="240" w:after="240"/>
        <w:jc w:val="center"/>
      </w:pPr>
      <w:r>
        <w:rPr>
          <w:rFonts w:ascii="Arial" w:cs="Arial" w:eastAsia="Arial" w:hAnsi="Arial"/>
          <w:b/>
          <w:bCs/>
          <w:color w:val="16213E"/>
          <w:sz w:val="24"/>
          <w:szCs w:val="24"/>
        </w:rPr>
        <w:t xml:space="preserve">JUST EVOLVE  •  JUST DESIGN  •  JUST BUILD  •  JUST SECURE  •  JUST MONITOR</w:t>
      </w:r>
    </w:p>
    <w:p>
      <w:r>
        <w:t xml:space="preserve"/>
      </w:r>
    </w:p>
    <w:p>
      <w:pPr>
        <w:jc w:val="center"/>
      </w:pPr>
      <w:r>
        <w:rPr>
          <w:rFonts w:ascii="Arial" w:cs="Arial" w:eastAsia="Arial" w:hAnsi="Arial"/>
          <w:i/>
          <w:iCs/>
          <w:color w:val="4A5568"/>
          <w:sz w:val="18"/>
          <w:szCs w:val="18"/>
        </w:rPr>
        <w:t xml:space="preserve">Omega Synthesis MOS v8.0 — Final Canon Edition — March 2026</w:t>
      </w:r>
    </w:p>
    <w:p>
      <w:pPr>
        <w:jc w:val="center"/>
      </w:pPr>
      <w:r>
        <w:rPr>
          <w:rFonts w:ascii="Arial" w:cs="Arial" w:eastAsia="Arial" w:hAnsi="Arial"/>
          <w:i/>
          <w:iCs/>
          <w:color w:val="4A5568"/>
          <w:sz w:val="18"/>
          <w:szCs w:val="18"/>
        </w:rPr>
        <w:t xml:space="preserve">Synthesized from: Hardpoint BEACON v7.3 + PATCH A  •  Omega-Exuberant  •  Claude Code 4-Layer Framework  •  Red Hat MLOps Canon  •  Postman Unified Lifecycle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DD8" w:sz="4" w:space="2"/>
      </w:pBdr>
    </w:pPr>
    <w:r>
      <w:rPr>
        <w:rFonts w:ascii="Arial" w:cs="Arial" w:eastAsia="Arial" w:hAnsi="Arial"/>
        <w:color w:val="4A5568"/>
        <w:sz w:val="16"/>
        <w:szCs w:val="16"/>
      </w:rPr>
      <w:t xml:space="preserve">Classification: Production Canon — Autonomous DevOpsStack Intelligence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2"/>
      </w:pBdr>
    </w:pPr>
    <w:r>
      <w:rPr>
        <w:rFonts w:ascii="Arial" w:cs="Arial" w:eastAsia="Arial" w:hAnsi="Arial"/>
        <w:color w:val="4A5568"/>
        <w:sz w:val="18"/>
        <w:szCs w:val="18"/>
      </w:rPr>
      <w:t xml:space="preserve">OMEGA SYNTHESIS MOS — Final Canon  </w:t>
    </w:r>
    <w:r>
      <w:rPr>
        <w:rFonts w:ascii="Arial" w:cs="Arial" w:eastAsia="Arial" w:hAnsi="Arial"/>
        <w:b/>
        <w:bCs/>
        <w:color w:val="E94560"/>
        <w:sz w:val="18"/>
        <w:szCs w:val="18"/>
      </w:rPr>
      <w:t xml:space="preserve">v8.0 • 2026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6213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2026-03-11T07:53:02.392Z</dcterms:created>
  <dcterms:modified xsi:type="dcterms:W3CDTF">2026-03-11T07:53:02.393Z</dcterms:modified>
</cp:coreProperties>
</file>

<file path=docProps/custom.xml><?xml version="1.0" encoding="utf-8"?>
<Properties xmlns="http://schemas.openxmlformats.org/officeDocument/2006/custom-properties" xmlns:vt="http://schemas.openxmlformats.org/officeDocument/2006/docPropsVTypes"/>
</file>